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
          <w:sz w:val="24"/>
          <w:szCs w:val="24"/>
        </w:rPr>
      </w:pPr>
      <w:r>
        <w:rPr>
          <w:b/>
          <w:bCs/>
          <w:color w:val="000000"/>
          <w:sz w:val="24"/>
          <w:szCs w:val="24"/>
        </w:rPr>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Акционерное</w:t>
      </w:r>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Pr>
          <w:bCs/>
          <w:color w:val="auto"/>
        </w:rPr>
        <w:t>,</w:t>
      </w:r>
      <w:r>
        <w:rPr/>
        <w:t xml:space="preserve"> </w:t>
      </w:r>
      <w:r>
        <w:rPr>
          <w:color w:val="auto"/>
          <w:lang w:val="ru-RU"/>
        </w:rPr>
        <w:t>и</w:t>
      </w:r>
      <w:r>
        <w:rPr>
          <w:lang w:val="ru-RU"/>
        </w:rPr>
        <w:t xml:space="preserve"> </w:t>
      </w:r>
      <w:r>
        <w:rPr>
          <w:bCs/>
          <w:color w:val="auto"/>
        </w:rPr>
        <w:t xml:space="preserve">на основании </w:t>
      </w:r>
      <w:r>
        <w:rPr>
          <w:bCs/>
          <w:color w:val="auto"/>
          <w:lang w:val="ru-RU"/>
        </w:rPr>
        <w:t xml:space="preserve">протокола </w:t>
      </w:r>
      <w:r>
        <w:rPr>
          <w:bCs/>
          <w:color w:val="auto"/>
        </w:rPr>
        <w:t xml:space="preserve"> </w:t>
      </w:r>
      <w:r>
        <w:rPr>
          <w:bCs/>
          <w:color w:val="auto"/>
          <w:lang w:val="ru-RU"/>
        </w:rPr>
        <w:t>__________</w:t>
      </w:r>
      <w:r>
        <w:rPr>
          <w:bCs/>
          <w:color w:val="auto"/>
        </w:rPr>
        <w:t xml:space="preserve"> №_______ от «___»__________ года</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8"/>
          <w:tab w:val="left" w:pos="284" w:leader="none"/>
        </w:tabs>
        <w:ind w:left="0" w:hanging="0"/>
        <w:jc w:val="center"/>
        <w:rPr>
          <w:b/>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«Банковская гарантия»</w:t>
      </w:r>
      <w:r>
        <w:rPr>
          <w:lang w:eastAsia="en-US"/>
        </w:rPr>
        <w:t xml:space="preserve"> – </w:t>
      </w:r>
      <w:r>
        <w:rPr>
          <w:bCs/>
        </w:rPr>
        <w:t>гарантия согласованного Заказчиком Банка</w:t>
      </w:r>
      <w:r>
        <w:rPr/>
        <w:t xml:space="preserve">, </w:t>
      </w:r>
      <w:r>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Pr>
          <w:lang w:eastAsia="en-US"/>
        </w:rPr>
        <w:t>условиям настоящего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«Гарантированные показатели»</w:t>
      </w:r>
      <w:r>
        <w:rP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геодезической разбивочной основы;</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и профили инженерных сетей и подземных сооружений;</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Журнал авторского надзора проектных организаций (при наличии авторского надзора);</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расположения зданий, сооружений на местности (посадки);</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«Обеспечительный платеж»</w:t>
      </w:r>
      <w:r>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pPr>
        <w:pStyle w:val="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 и оборудования)</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10"/>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Pr>
          <w:sz w:val="24"/>
          <w:szCs w:val="24"/>
        </w:rPr>
        <w:t xml:space="preserve"> </w:t>
      </w:r>
      <w:r>
        <w:rPr>
          <w:b w:val="false"/>
          <w:sz w:val="24"/>
          <w:szCs w:val="24"/>
          <w:lang w:val="ru-RU"/>
        </w:rPr>
        <w:t>(</w:t>
      </w:r>
      <w:r>
        <w:rPr>
          <w:b w:val="false"/>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Pr>
          <w:b w:val="false"/>
          <w:sz w:val="24"/>
          <w:szCs w:val="24"/>
        </w:rPr>
        <w:t>Находкинский ГО, г. Находка</w:t>
      </w:r>
      <w:r>
        <w:rPr>
          <w:b w:val="false"/>
          <w:sz w:val="24"/>
          <w:szCs w:val="24"/>
          <w:lang w:val="ru-RU"/>
        </w:rPr>
        <w:t>.</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sz w:val="24"/>
          <w:szCs w:val="24"/>
          <w:lang w:val="x-none" w:eastAsia="x-none"/>
        </w:rPr>
      </w:pPr>
      <w:r>
        <w:rPr>
          <w:sz w:val="24"/>
          <w:szCs w:val="24"/>
          <w:lang w:val="x-none" w:eastAsia="x-none"/>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4"/>
        </w:numPr>
        <w:shd w:val="clear" w:color="auto" w:fill="FFFFFF"/>
        <w:tabs>
          <w:tab w:val="clear" w:pos="708"/>
          <w:tab w:val="left" w:pos="1134" w:leader="none"/>
        </w:tabs>
        <w:ind w:left="0" w:firstLine="709"/>
        <w:jc w:val="both"/>
        <w:rPr>
          <w:bCs/>
        </w:rPr>
      </w:pPr>
      <w:bookmarkStart w:id="4" w:name="_Ref361410951"/>
      <w:r>
        <w:rPr>
          <w:bCs/>
        </w:rPr>
        <w:t xml:space="preserve">Подрядчик обязуется по заданию Заказчика в соответствии с Техническим заданием (Приложение № 1 к Договору) выполнить </w:t>
      </w:r>
      <w:r>
        <w:rPr>
          <w:b/>
          <w:bCs/>
        </w:rPr>
        <w:t>строительно- монтажных и пусконаладочных работ по титулу «Система противоаварийной автоматики по ВОЛС в районе Партизанской ГРЭС с установкой устройств отключения нагрузки»</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8"/>
          <w:tab w:val="left" w:pos="1418" w:leader="none"/>
        </w:tabs>
        <w:ind w:left="0" w:firstLine="709"/>
        <w:jc w:val="both"/>
        <w:rPr>
          <w:bCs/>
        </w:rPr>
      </w:pPr>
      <w:r>
        <w:rPr>
          <w:bCs/>
        </w:rPr>
        <w:t>Строительно-монтажные и пуско-наладочные работы;</w:t>
      </w:r>
    </w:p>
    <w:p>
      <w:pPr>
        <w:pStyle w:val="ListParagraph"/>
        <w:numPr>
          <w:ilvl w:val="1"/>
          <w:numId w:val="4"/>
        </w:numPr>
        <w:shd w:val="clear" w:color="auto" w:fill="FFFFFF"/>
        <w:tabs>
          <w:tab w:val="clear" w:pos="708"/>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Работы по Договору выполняются для нужд филиала АО «ДРСК» «Приморские электрические сети».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Место выполнения Работ: </w:t>
      </w:r>
      <w:r>
        <w:rPr/>
        <w:t>Находкинский ГО, г. Находка.</w:t>
      </w:r>
    </w:p>
    <w:p>
      <w:pPr>
        <w:pStyle w:val="ListParagraph"/>
        <w:numPr>
          <w:ilvl w:val="1"/>
          <w:numId w:val="4"/>
        </w:numPr>
        <w:shd w:val="clear" w:color="auto" w:fill="FFFFFF"/>
        <w:tabs>
          <w:tab w:val="clear" w:pos="708"/>
          <w:tab w:val="left" w:pos="1134" w:leader="none"/>
        </w:tabs>
        <w:ind w:left="0" w:firstLine="709"/>
        <w:jc w:val="both"/>
        <w:rPr>
          <w:bCs/>
        </w:rPr>
      </w:pPr>
      <w:bookmarkStart w:id="5" w:name="_Ref361320424"/>
      <w:r>
        <w:rPr>
          <w:bCs/>
        </w:rPr>
        <w:t>Работы выполняются Подрядчиком в следующие сроки:</w:t>
      </w:r>
      <w:bookmarkEnd w:id="5"/>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b/>
          <w:i/>
        </w:rPr>
        <w:t>с момента заключения договора;</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b/>
          <w:i/>
        </w:rPr>
        <w:t>до 30.12</w:t>
      </w:r>
      <w:bookmarkStart w:id="6" w:name="_GoBack"/>
      <w:bookmarkEnd w:id="6"/>
      <w:r>
        <w:rPr>
          <w:b/>
          <w:i/>
        </w:rPr>
        <w:t>.2024г.</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2 к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Настоящий Договор заключается для выполнения мероприятий по реализации инвестиционного проекта: </w:t>
      </w:r>
      <w:r>
        <w:rPr/>
        <w:t>Создание системы противоаварийной автоматики по ВОЛС в районе Партизанской ГРЭС с установкой устройств отключения нагрузки (I_25-ПЭС-759).</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bookmarkStart w:id="7" w:name="_Ref361396847"/>
      <w:bookmarkStart w:id="8" w:name="_Ref361320734"/>
      <w:bookmarkStart w:id="9" w:name="_Ref361401696"/>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 xml:space="preserve">место производства Работ, </w:t>
      </w:r>
      <w:r>
        <w:rPr>
          <w:highlight w:val="lightGray"/>
        </w:rPr>
        <w:t xml:space="preserve">место (помещение) для складирования </w:t>
      </w:r>
      <w:r>
        <w:rPr>
          <w:bCs/>
          <w:highlight w:val="lightGray"/>
        </w:rPr>
        <w:t xml:space="preserve">Материально-технических ресурсов и оборудования, Оборудования Заказчика, </w:t>
      </w:r>
      <w:r>
        <w:rPr/>
        <w:t>по соответствующим актам сдачи-приемки (Приложение № 5.1 к Договору);</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t xml:space="preserve"> </w:t>
      </w:r>
      <w:bookmarkEnd w:id="7"/>
      <w:bookmarkEnd w:id="8"/>
      <w:bookmarkEnd w:id="9"/>
    </w:p>
    <w:p>
      <w:pPr>
        <w:pStyle w:val="ListParagraph"/>
        <w:numPr>
          <w:ilvl w:val="2"/>
          <w:numId w:val="4"/>
        </w:numPr>
        <w:shd w:val="clear" w:color="auto" w:fill="FFFFFF"/>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14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1418" w:leader="none"/>
        </w:tabs>
        <w:ind w:left="0" w:firstLine="709"/>
        <w:jc w:val="both"/>
        <w:rPr>
          <w:bCs/>
        </w:rPr>
      </w:pPr>
      <w:r>
        <w:rPr>
          <w:highlight w:val="lightGray"/>
        </w:rPr>
        <w:t xml:space="preserve">Предоставить Подрядчику в порядке, установленном Приложением № 12 к Договору, необходимое Оборудование Заказчика, перечень которого указан в Приложении </w:t>
        <w:br/>
        <w:t>№ 11 к Договору</w:t>
      </w:r>
      <w:r>
        <w:rPr/>
        <w:t>.</w:t>
      </w:r>
    </w:p>
    <w:p>
      <w:pPr>
        <w:pStyle w:val="ListParagraph"/>
        <w:numPr>
          <w:ilvl w:val="2"/>
          <w:numId w:val="4"/>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firstLine="709"/>
        <w:jc w:val="both"/>
        <w:rPr/>
      </w:pPr>
      <w:r>
        <w:rPr>
          <w:bCs/>
        </w:rPr>
        <w:t>Выполнять иные обязанности, предусмотренные Договором.</w:t>
      </w:r>
    </w:p>
    <w:p>
      <w:pPr>
        <w:pStyle w:val="ListParagraph"/>
        <w:numPr>
          <w:ilvl w:val="2"/>
          <w:numId w:val="4"/>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w:t>
      </w:r>
      <w:r>
        <w:rPr>
          <w:highlight w:val="lightGray"/>
        </w:rPr>
        <w:t xml:space="preserve">Оборудования </w:t>
      </w:r>
      <w:r>
        <w:rPr>
          <w:bCs/>
          <w:highlight w:val="lightGray"/>
        </w:rPr>
        <w:t>Заказчика.</w:t>
      </w:r>
      <w:r>
        <w:rPr>
          <w:bCs/>
        </w:rPr>
        <w:t xml:space="preserve"> В случае предоставления Подрядчику отдельного помещения для складирования Материально-технических ресурсов и оборудования, </w:t>
      </w:r>
      <w:r>
        <w:rPr>
          <w:highlight w:val="lightGray"/>
        </w:rPr>
        <w:t>Оборудования Заказчика</w:t>
      </w:r>
      <w:r>
        <w:rPr>
          <w:bCs/>
        </w:rPr>
        <w:t xml:space="preserve">,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8"/>
          <w:tab w:val="left" w:pos="1418" w:leader="none"/>
        </w:tabs>
        <w:ind w:left="0" w:firstLine="709"/>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11"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pPr>
        <w:pStyle w:val="ListParagraph"/>
        <w:numPr>
          <w:ilvl w:val="2"/>
          <w:numId w:val="4"/>
        </w:numPr>
        <w:shd w:val="clear" w:color="auto" w:fill="FFFFFF"/>
        <w:tabs>
          <w:tab w:val="clear" w:pos="708"/>
          <w:tab w:val="left" w:pos="1418" w:leader="none"/>
        </w:tabs>
        <w:ind w:left="0" w:firstLine="709"/>
        <w:jc w:val="both"/>
        <w:rPr>
          <w:bCs/>
        </w:rPr>
      </w:pPr>
      <w:bookmarkStart w:id="12"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Normal"/>
        <w:spacing w:lineRule="auto" w:line="240"/>
        <w:rPr>
          <w:bCs/>
          <w:sz w:val="24"/>
          <w:szCs w:val="24"/>
        </w:rPr>
      </w:pPr>
      <w:r>
        <w:rPr>
          <w:bCs/>
          <w:sz w:val="24"/>
          <w:szCs w:val="24"/>
        </w:rPr>
        <w:t>2.2.10. 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п.2.1.9</w:t>
      </w:r>
      <w:r>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 w:val="left" w:pos="1418" w:leader="none"/>
        </w:tabs>
        <w:ind w:left="0" w:firstLine="709"/>
        <w:jc w:val="both"/>
        <w:rPr>
          <w:bCs/>
        </w:rPr>
      </w:pPr>
      <w:r>
        <w:rPr>
          <w:bCs/>
        </w:rPr>
      </w:r>
    </w:p>
    <w:p>
      <w:pPr>
        <w:pStyle w:val="ListParagraph"/>
        <w:numPr>
          <w:ilvl w:val="1"/>
          <w:numId w:val="4"/>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22"/>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highlight w:val="lightGray"/>
        </w:rPr>
        <w:t>место (помещение) для складирования Материально-технических ресурсов и оборудования, Оборудования Заказчика</w:t>
      </w:r>
      <w:r>
        <w:rPr>
          <w:bCs/>
        </w:rPr>
        <w:t xml:space="preserve"> по соответствующим актам сдачи-приемки (Приложение № 5.1 к Договору);</w:t>
      </w:r>
    </w:p>
    <w:p>
      <w:pPr>
        <w:pStyle w:val="ListParagraph"/>
        <w:numPr>
          <w:ilvl w:val="0"/>
          <w:numId w:val="22"/>
        </w:numPr>
        <w:shd w:val="clear" w:color="auto" w:fill="FFFFFF"/>
        <w:tabs>
          <w:tab w:val="clear" w:pos="708"/>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w:t>
      </w:r>
      <w:r>
        <w:rPr>
          <w:bCs/>
          <w:highlight w:val="lightGray"/>
        </w:rPr>
        <w:t xml:space="preserve">места (помещения) для складирования Материально-технических ресурсов и оборудования, Оборудования Заказчика, </w:t>
      </w:r>
      <w:r>
        <w:rPr>
          <w:bCs/>
        </w:rPr>
        <w:t xml:space="preserve">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w:t>
      </w:r>
      <w:r>
        <w:rPr>
          <w:bCs/>
          <w:highlight w:val="lightGray"/>
        </w:rPr>
        <w:t>Материально-технических ресурсов и оборудования, Оборудования Заказчика</w:t>
      </w:r>
      <w:r>
        <w:rPr>
          <w:bCs/>
        </w:rPr>
        <w:t xml:space="preserve">.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8"/>
        </w:numPr>
        <w:shd w:val="clear" w:color="auto" w:fill="FFFFFF"/>
        <w:tabs>
          <w:tab w:val="clear" w:pos="708"/>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8"/>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8"/>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9"/>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выполняющих инженерные изыскания / подготовку проектной документации или / осуществляющих строительство</w:t>
      </w:r>
      <w:r>
        <w:rPr>
          <w:bCs/>
        </w:rPr>
        <w:t xml:space="preserve"> (с учетом исключений, предусмотренных законодательством Российской Федерации);</w:t>
      </w:r>
    </w:p>
    <w:p>
      <w:pPr>
        <w:pStyle w:val="ListParagraph"/>
        <w:numPr>
          <w:ilvl w:val="0"/>
          <w:numId w:val="19"/>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9"/>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pPr>
        <w:pStyle w:val="ListParagraph"/>
        <w:numPr>
          <w:ilvl w:val="2"/>
          <w:numId w:val="4"/>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sz w:val="24"/>
        </w:rPr>
        <w:t>Не более чем за 8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20"/>
        </w:numPr>
        <w:ind w:left="0" w:right="23" w:firstLine="709"/>
        <w:jc w:val="both"/>
        <w:rPr/>
      </w:pPr>
      <w:r>
        <w:rPr/>
        <w:t>аварии – в течение 2 (двух) часов;</w:t>
      </w:r>
    </w:p>
    <w:p>
      <w:pPr>
        <w:pStyle w:val="ListParagraph"/>
        <w:numPr>
          <w:ilvl w:val="0"/>
          <w:numId w:val="20"/>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20"/>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20"/>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20"/>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20"/>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5.1к Договору).</w:t>
      </w:r>
    </w:p>
    <w:p>
      <w:pPr>
        <w:pStyle w:val="ListParagraph"/>
        <w:numPr>
          <w:ilvl w:val="2"/>
          <w:numId w:val="4"/>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8"/>
          <w:tab w:val="left" w:pos="1418" w:leader="none"/>
        </w:tabs>
        <w:ind w:left="0" w:firstLine="709"/>
        <w:jc w:val="both"/>
        <w:rPr>
          <w:color w:val="000000"/>
          <w:highlight w:val="lightGray"/>
        </w:rPr>
      </w:pPr>
      <w:r>
        <w:rPr>
          <w:color w:val="000000"/>
          <w:highlight w:val="lightGray"/>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color w:val="000000"/>
        </w:rPr>
      </w:pPr>
      <w:r>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Pr>
          <w:color w:val="000000"/>
        </w:rPr>
        <w:t>.</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Pr>
          <w:color w:val="000000"/>
        </w:rPr>
        <w:t xml:space="preserve">. </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Pr>
          <w:rStyle w:val="Style11"/>
          <w:vertAlign w:val="superscript"/>
        </w:rPr>
        <w:footnoteReference w:id="2"/>
      </w:r>
    </w:p>
    <w:p>
      <w:pPr>
        <w:pStyle w:val="ListParagraph"/>
        <w:numPr>
          <w:ilvl w:val="2"/>
          <w:numId w:val="4"/>
        </w:numPr>
        <w:shd w:val="clear" w:color="auto" w:fill="FFFFFF"/>
        <w:tabs>
          <w:tab w:val="clear" w:pos="708"/>
          <w:tab w:val="left" w:pos="1418" w:leader="none"/>
        </w:tabs>
        <w:ind w:left="0" w:firstLine="710"/>
        <w:jc w:val="both"/>
        <w:rPr/>
      </w:pPr>
      <w:r>
        <w:rPr>
          <w:highlight w:val="lightGray"/>
        </w:rPr>
        <w:t>Принять у Заказчика в порядке, установленном Приложением № 12 к Договору, необходимое Оборудование Заказчика, перечень которого указан в Приложении № 11 к Договору</w:t>
      </w:r>
      <w:r>
        <w:rPr/>
        <w:t>.</w:t>
      </w:r>
    </w:p>
    <w:p>
      <w:pPr>
        <w:pStyle w:val="ListParagraph"/>
        <w:numPr>
          <w:ilvl w:val="2"/>
          <w:numId w:val="4"/>
        </w:numPr>
        <w:shd w:val="clear" w:color="auto" w:fill="FFFFFF"/>
        <w:tabs>
          <w:tab w:val="clear" w:pos="708"/>
          <w:tab w:val="left" w:pos="1418" w:leader="none"/>
        </w:tabs>
        <w:ind w:left="0" w:firstLine="710"/>
        <w:jc w:val="both"/>
        <w:rPr>
          <w:color w:val="000000"/>
        </w:rPr>
      </w:pPr>
      <w:r>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12 к Договору</w:t>
      </w:r>
      <w:r>
        <w:rPr/>
        <w:t>.</w:t>
      </w:r>
    </w:p>
    <w:p>
      <w:pPr>
        <w:pStyle w:val="ListParagraph"/>
        <w:numPr>
          <w:ilvl w:val="2"/>
          <w:numId w:val="4"/>
        </w:numPr>
        <w:ind w:left="0" w:firstLine="709"/>
        <w:jc w:val="both"/>
        <w:rPr>
          <w:color w:val="000000"/>
        </w:rPr>
      </w:pPr>
      <w:r>
        <w:rPr>
          <w:color w:val="000000"/>
        </w:rPr>
        <w:t>Предоставить Заказчику банковские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2"/>
          <w:numId w:val="4"/>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 15 к Договору.</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10 % (десять процентов)</w:t>
      </w:r>
      <w:r>
        <w:rPr>
          <w:bCs/>
        </w:rPr>
        <w:t xml:space="preserve">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23"/>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23"/>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23"/>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23"/>
        </w:numPr>
        <w:shd w:val="clear" w:color="auto" w:fill="FFFFFF"/>
        <w:tabs>
          <w:tab w:val="clear" w:pos="708"/>
          <w:tab w:val="left" w:pos="709" w:leader="none"/>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0"/>
          <w:numId w:val="23"/>
        </w:numPr>
        <w:shd w:val="clear" w:color="auto" w:fill="FFFFFF"/>
        <w:tabs>
          <w:tab w:val="clear" w:pos="708"/>
          <w:tab w:val="left" w:pos="709" w:leader="none"/>
        </w:tabs>
        <w:ind w:left="0" w:firstLine="709"/>
        <w:jc w:val="both"/>
        <w:rPr>
          <w:bCs/>
        </w:rPr>
      </w:pPr>
      <w:r>
        <w:rPr/>
        <w:t>справку по форме Приложения № 10 к Договору (в случае привлечения Субподрядчика, соответствующего критериям МСП)</w:t>
      </w:r>
      <w:r>
        <w:rPr>
          <w:bCs/>
        </w:rPr>
        <w:t>.</w:t>
      </w:r>
    </w:p>
    <w:p>
      <w:pPr>
        <w:pStyle w:val="ListParagraph"/>
        <w:shd w:val="clear" w:color="auto" w:fill="FFFFFF"/>
        <w:tabs>
          <w:tab w:val="clear" w:pos="708"/>
          <w:tab w:val="left" w:pos="1276" w:leader="none"/>
          <w:tab w:val="left" w:pos="1418" w:leader="none"/>
        </w:tabs>
        <w:ind w:left="0" w:firstLine="567"/>
        <w:jc w:val="both"/>
        <w:rPr>
          <w:b/>
          <w:b/>
          <w:bCs/>
          <w:highlight w:val="yellow"/>
        </w:rPr>
      </w:pPr>
      <w:r>
        <w:rPr>
          <w:b/>
          <w:bCs/>
          <w:highlight w:val="yellow"/>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13" w:name="_Ref361335465"/>
      <w:r>
        <w:rPr>
          <w:bCs/>
        </w:rPr>
        <w:t xml:space="preserve">Цена </w:t>
      </w:r>
      <w:r>
        <w:rPr/>
        <w:t xml:space="preserve">Договора </w:t>
      </w:r>
      <w:r>
        <w:rPr>
          <w:bCs/>
        </w:rPr>
        <w:t xml:space="preserve">в соответствии со Сводной таблицей стоимости работ (Приложение № 4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14"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Сводную таблицу стоимости работ (Приложение № 4 к Договору) путем заключения дополнительного соглашения к Договору.</w:t>
      </w:r>
      <w:bookmarkEnd w:id="14"/>
    </w:p>
    <w:p>
      <w:pPr>
        <w:pStyle w:val="ListParagraph"/>
        <w:shd w:val="clear" w:color="auto" w:fill="FFFFFF"/>
        <w:tabs>
          <w:tab w:val="clear" w:pos="708"/>
          <w:tab w:val="left" w:pos="1134" w:leader="none"/>
        </w:tabs>
        <w:ind w:left="0" w:firstLine="709"/>
        <w:jc w:val="both"/>
        <w:rPr>
          <w:bCs/>
        </w:rPr>
      </w:pPr>
      <w:r>
        <w:rPr>
          <w:bCs/>
          <w:i/>
          <w:highlight w:val="lightGray"/>
        </w:rPr>
        <w:t>либо</w:t>
      </w:r>
    </w:p>
    <w:p>
      <w:pPr>
        <w:pStyle w:val="ListParagraph"/>
        <w:shd w:val="clear" w:color="auto" w:fill="FFFFFF"/>
        <w:tabs>
          <w:tab w:val="clear" w:pos="708"/>
          <w:tab w:val="left" w:pos="1134" w:leader="none"/>
        </w:tabs>
        <w:ind w:left="0" w:firstLine="709"/>
        <w:jc w:val="both"/>
        <w:rPr>
          <w:bCs/>
        </w:rPr>
      </w:pPr>
      <w:r>
        <w:rPr>
          <w:bCs/>
          <w:highlight w:val="lightGray"/>
        </w:rPr>
        <w:t>Локальные сметные расчеты являются неотъемлемой частью Сводной таблицы стоимости работ с приложениями (Приложение № 4 к Договору)</w:t>
      </w:r>
      <w:r>
        <w:rPr>
          <w:rStyle w:val="Style11"/>
          <w:bCs/>
        </w:rPr>
        <w:footnoteReference w:id="3"/>
      </w:r>
      <w:r>
        <w:rPr>
          <w:bCs/>
        </w:rPr>
        <w:t>.</w:t>
      </w:r>
      <w:bookmarkEnd w:id="13"/>
    </w:p>
    <w:p>
      <w:pPr>
        <w:pStyle w:val="ListParagraph"/>
        <w:numPr>
          <w:ilvl w:val="1"/>
          <w:numId w:val="4"/>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Монтаж Оборудования Заказчика и пуско-наладочные работы;</w:t>
      </w:r>
    </w:p>
    <w:p>
      <w:pPr>
        <w:pStyle w:val="ListParagraph"/>
        <w:numPr>
          <w:ilvl w:val="2"/>
          <w:numId w:val="4"/>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4"/>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firstLine="709"/>
        <w:jc w:val="both"/>
        <w:rPr>
          <w:bCs/>
        </w:rPr>
      </w:pPr>
      <w:bookmarkStart w:id="15" w:name="_Ref361834675"/>
      <w:bookmarkStart w:id="16" w:name="_Ref361858588"/>
      <w:r>
        <w:rPr>
          <w:bCs/>
        </w:rPr>
        <w:t>Оплата по Договору осуществляется Заказчиком в следующем порядке:</w:t>
      </w:r>
      <w:bookmarkEnd w:id="15"/>
      <w:bookmarkEnd w:id="16"/>
      <w:r>
        <w:rPr>
          <w:bCs/>
        </w:rPr>
        <w:t xml:space="preserve"> </w:t>
      </w:r>
    </w:p>
    <w:p>
      <w:pPr>
        <w:pStyle w:val="ListParagraph"/>
        <w:numPr>
          <w:ilvl w:val="2"/>
          <w:numId w:val="4"/>
        </w:numPr>
        <w:shd w:val="clear" w:color="auto" w:fill="FFFFFF"/>
        <w:tabs>
          <w:tab w:val="clear" w:pos="708"/>
          <w:tab w:val="left" w:pos="1418" w:leader="none"/>
        </w:tabs>
        <w:ind w:left="0" w:firstLine="709"/>
        <w:jc w:val="both"/>
        <w:rPr/>
      </w:pPr>
      <w:bookmarkStart w:id="17" w:name="_Ref373242755"/>
      <w:bookmarkStart w:id="18" w:name="_Ref361335057"/>
      <w:bookmarkEnd w:id="17"/>
      <w:bookmarkEnd w:id="18"/>
      <w:r>
        <w:rPr/>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pPr>
        <w:pStyle w:val="ListParagraph"/>
        <w:numPr>
          <w:ilvl w:val="2"/>
          <w:numId w:val="4"/>
        </w:numPr>
        <w:shd w:val="clear" w:color="auto" w:fill="FFFFFF"/>
        <w:tabs>
          <w:tab w:val="clear" w:pos="708"/>
          <w:tab w:val="left" w:pos="1418" w:leader="none"/>
        </w:tabs>
        <w:ind w:left="0" w:firstLine="709"/>
        <w:jc w:val="both"/>
        <w:rPr/>
      </w:pPr>
      <w:bookmarkStart w:id="19" w:name="_Ref373242755"/>
      <w:bookmarkStart w:id="20" w:name="_Ref361335057"/>
      <w:bookmarkStart w:id="21" w:name="_Ref361335023"/>
      <w:bookmarkStart w:id="22" w:name="_Ref361834178"/>
      <w:bookmarkStart w:id="23" w:name="_Ref373242766"/>
      <w:bookmarkEnd w:id="19"/>
      <w:bookmarkEnd w:id="20"/>
      <w:bookmarkEnd w:id="22"/>
      <w:r>
        <w:rPr/>
        <w:t xml:space="preserve">Авансовые платежи в счет стоимости каждого Этапа Работ </w:t>
      </w:r>
      <w:r>
        <w:rPr>
          <w:highlight w:val="lightGray"/>
        </w:rPr>
        <w:t>(кроме Этапа Проектных работ)</w:t>
      </w:r>
      <w:r>
        <w:rPr/>
        <w:t xml:space="preserve"> в размере 10% (десяти процентов) от стоимости соответствующего Этапа Работ </w:t>
      </w:r>
      <w:r>
        <w:rPr>
          <w:highlight w:val="lightGray"/>
        </w:rPr>
        <w:t>(за исключением непредвиденных работ и затрат)</w:t>
      </w:r>
      <w:r>
        <w:rPr/>
        <w:t xml:space="preserve"> выплачиваются в течение 30 (тридцати) календарных дней с даты получения Заказчиком счета, выставленного Подрядчиком, </w:t>
      </w:r>
      <w:r>
        <w:rPr>
          <w:highlight w:val="lightGray"/>
        </w:rPr>
        <w:t>при условии согласования Сторонами сметной документации на соответствующий Этап Работ в соответствии с пунктом 3.2 Договора</w:t>
      </w:r>
      <w:r>
        <w:rPr>
          <w:rStyle w:val="Style11"/>
        </w:rPr>
        <w:footnoteReference w:id="4"/>
      </w:r>
      <w:r>
        <w:rP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3.5.4 Договора.</w:t>
      </w:r>
      <w:bookmarkEnd w:id="23"/>
    </w:p>
    <w:p>
      <w:pPr>
        <w:pStyle w:val="ListParagraph"/>
        <w:numPr>
          <w:ilvl w:val="2"/>
          <w:numId w:val="4"/>
        </w:numPr>
        <w:shd w:val="clear" w:color="auto" w:fill="FFFFFF"/>
        <w:tabs>
          <w:tab w:val="clear" w:pos="708"/>
          <w:tab w:val="left" w:pos="1418" w:leader="none"/>
        </w:tabs>
        <w:ind w:left="0" w:firstLine="709"/>
        <w:jc w:val="both"/>
        <w:rPr/>
      </w:pPr>
      <w:r>
        <w:rPr/>
        <w:t xml:space="preserve">Последующие платежи в размере 90% (девяноста процентов) от стоимости каждого Этапа Работ </w:t>
      </w:r>
      <w:r>
        <w:rPr>
          <w:highlight w:val="lightGray"/>
        </w:rPr>
        <w:t>(кроме Проектных работ)</w:t>
      </w:r>
      <w:r>
        <w:rPr/>
        <w:t xml:space="preserve"> выплачиваются в течение </w:t>
      </w:r>
      <w:r>
        <w:rPr>
          <w:highlight w:val="lightGray"/>
        </w:rPr>
        <w:t>45 (сорока пяти) календарных дней/ 7 (семи) рабочих дней</w:t>
      </w:r>
      <w:r>
        <w:rPr>
          <w:rStyle w:val="Style11"/>
          <w:highlight w:val="lightGray"/>
        </w:rPr>
        <w:footnoteReference w:id="5"/>
      </w:r>
      <w:r>
        <w:rPr/>
        <w:t xml:space="preserve"> с даты подписания Сторонами документов, указанных в пункте 4.1 Договора, на основании счёта, выставленного Подрядчиком, и с учетом пунктов 3.5.4, 3.5.5 Договора. </w:t>
      </w:r>
    </w:p>
    <w:p>
      <w:pPr>
        <w:pStyle w:val="ListParagraph"/>
        <w:shd w:val="clear" w:color="auto" w:fill="FFFFFF"/>
        <w:tabs>
          <w:tab w:val="clear" w:pos="708"/>
          <w:tab w:val="left" w:pos="1418" w:leader="none"/>
        </w:tabs>
        <w:ind w:left="0" w:firstLine="709"/>
        <w:jc w:val="both"/>
        <w:rPr/>
      </w:pPr>
      <w:r>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4"/>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shd w:val="clear" w:color="auto" w:fill="FFFFFF"/>
        <w:tabs>
          <w:tab w:val="clear" w:pos="708"/>
          <w:tab w:val="left" w:pos="1418" w:leader="none"/>
        </w:tabs>
        <w:ind w:left="0" w:firstLine="709"/>
        <w:jc w:val="both"/>
        <w:rPr/>
      </w:pPr>
      <w:r>
        <w:rPr/>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3 (три) рабочих дня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3.5.3,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ListParagraph"/>
        <w:shd w:val="clear" w:color="auto" w:fill="FFFFFF"/>
        <w:tabs>
          <w:tab w:val="clear" w:pos="708"/>
          <w:tab w:val="left" w:pos="1276" w:leader="none"/>
          <w:tab w:val="left" w:pos="1418" w:leader="none"/>
        </w:tabs>
        <w:ind w:left="0" w:firstLine="709"/>
        <w:jc w:val="both"/>
        <w:rPr/>
      </w:pPr>
      <w:r>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pPr>
        <w:pStyle w:val="ListParagraph"/>
        <w:shd w:val="clear" w:color="auto" w:fill="FFFFFF"/>
        <w:tabs>
          <w:tab w:val="clear" w:pos="708"/>
          <w:tab w:val="left" w:pos="1276" w:leader="none"/>
          <w:tab w:val="left" w:pos="1418" w:leader="none"/>
        </w:tabs>
        <w:ind w:left="0" w:firstLine="709"/>
        <w:jc w:val="both"/>
        <w:rPr/>
      </w:pPr>
      <w:r>
        <w:rPr/>
        <w:t>Выплата Обеспечительного платежа производится в течение 30 (тридцати) календарных дней /  7 (семи) рабочих дней</w:t>
      </w:r>
      <w:r>
        <w:rPr>
          <w:rStyle w:val="Style11"/>
        </w:rPr>
        <w:footnoteReference w:id="6"/>
      </w:r>
      <w: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left="0" w:firstLine="709"/>
        <w:jc w:val="both"/>
        <w:rPr/>
      </w:pPr>
      <w: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2"/>
          <w:numId w:val="4"/>
        </w:numPr>
        <w:shd w:val="clear" w:color="auto" w:fill="FFFFFF"/>
        <w:tabs>
          <w:tab w:val="clear" w:pos="708"/>
          <w:tab w:val="left" w:pos="1418" w:leader="none"/>
        </w:tabs>
        <w:ind w:left="0" w:firstLine="709"/>
        <w:jc w:val="both"/>
        <w:rPr>
          <w:bCs/>
        </w:rPr>
      </w:pPr>
      <w:bookmarkStart w:id="24" w:name="_Ref361834178"/>
      <w:bookmarkStart w:id="25" w:name="_Ref373242894"/>
      <w:bookmarkEnd w:id="24"/>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Pr/>
        <w:t>предоставил</w:t>
      </w:r>
      <w:r>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5"/>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bookmarkEnd w:id="26"/>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highlight w:val="lightGray"/>
        </w:rPr>
        <w:t>Оплата затрат на временные здания и сооружения и непредвиденных работ и затрат</w:t>
      </w:r>
      <w:r>
        <w:rPr>
          <w:rStyle w:val="Style11"/>
          <w:highlight w:val="lightGray"/>
        </w:rPr>
        <w:footnoteReference w:id="7"/>
      </w:r>
      <w:r>
        <w:rPr>
          <w:highlight w:val="lightGray"/>
        </w:rPr>
        <w:t xml:space="preserve"> осуществляется Заказчиком в следующем порядке</w:t>
      </w:r>
      <w:r>
        <w:rPr>
          <w:bCs/>
        </w:rPr>
        <w:t>:</w:t>
      </w:r>
    </w:p>
    <w:p>
      <w:pPr>
        <w:pStyle w:val="ListParagraph"/>
        <w:numPr>
          <w:ilvl w:val="2"/>
          <w:numId w:val="4"/>
        </w:numPr>
        <w:shd w:val="clear" w:color="auto" w:fill="FFFFFF"/>
        <w:tabs>
          <w:tab w:val="clear" w:pos="708"/>
          <w:tab w:val="left" w:pos="1418" w:leader="none"/>
        </w:tabs>
        <w:ind w:left="0" w:firstLine="709"/>
        <w:jc w:val="both"/>
        <w:rPr/>
      </w:pPr>
      <w:r>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утвержденной Сводной таблицей стоимости работ (Приложение № 4 к Договору). По окончании возведения каждого титульного временного здания и / или сооружения Стороны подписывают Акт </w:t>
      </w:r>
      <w:r>
        <w:rPr>
          <w:bCs/>
          <w:highlight w:val="lightGray"/>
        </w:rPr>
        <w:t xml:space="preserve">КС-2 и Справку </w:t>
      </w:r>
      <w:r>
        <w:rPr>
          <w:highlight w:val="lightGray"/>
        </w:rPr>
        <w:t>КС-3. Оплата в размере 100% (ста процентов) от стоимости временного здания и / или сооружения производится Заказчиком в течение 45 (сорока пяти) календарных дней / 7 (семи) рабочих дней</w:t>
      </w:r>
      <w:r>
        <w:rPr>
          <w:rStyle w:val="Style11"/>
          <w:highlight w:val="lightGray"/>
        </w:rPr>
        <w:footnoteReference w:id="8"/>
      </w:r>
      <w:r>
        <w:rPr>
          <w:highlight w:val="lightGray"/>
        </w:rPr>
        <w:t xml:space="preserve"> с даты подписания Акта КС-2 и Справки КС-3 на основании счета, выставленного Подрядчиком, и с учетом пунктов 3.5.4, 3.5.5 Договора. Стоимость временных зданий и сооружений не включается в </w:t>
      </w:r>
      <w:r>
        <w:rPr>
          <w:bCs/>
          <w:highlight w:val="lightGray"/>
        </w:rPr>
        <w:t>общую сумму Акта КС-2, подписываемого Сторонами в соответствии с пунктом 4.2 Договора</w:t>
      </w:r>
      <w:r>
        <w:rPr>
          <w:bCs/>
        </w:rPr>
        <w:t>.</w:t>
      </w:r>
    </w:p>
    <w:p>
      <w:pPr>
        <w:pStyle w:val="ListParagraph"/>
        <w:numPr>
          <w:ilvl w:val="2"/>
          <w:numId w:val="4"/>
        </w:numPr>
        <w:shd w:val="clear" w:color="auto" w:fill="FFFFFF"/>
        <w:tabs>
          <w:tab w:val="clear" w:pos="708"/>
          <w:tab w:val="left" w:pos="1418" w:leader="none"/>
        </w:tabs>
        <w:ind w:left="0" w:firstLine="709"/>
        <w:jc w:val="both"/>
        <w:rPr/>
      </w:pPr>
      <w:r>
        <w:rPr>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таблицей стоимости работ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45 (сорока пяти) календарных дней / 7 (семи) рабочих дней</w:t>
      </w:r>
      <w:r>
        <w:rPr>
          <w:rStyle w:val="Style11"/>
          <w:highlight w:val="lightGray"/>
        </w:rPr>
        <w:footnoteReference w:id="9"/>
      </w:r>
      <w:r>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Pr>
          <w:bCs/>
          <w:highlight w:val="lightGray"/>
        </w:rPr>
        <w:t>общую сумму Акта КС-2, подписываемого Сторонами в соответствии с пунктом 4.2 Договора</w:t>
      </w:r>
      <w:r>
        <w:rPr>
          <w:bCs/>
        </w:rPr>
        <w:t>.</w:t>
      </w:r>
    </w:p>
    <w:p>
      <w:pPr>
        <w:pStyle w:val="ListParagraph"/>
        <w:shd w:val="clear" w:color="auto" w:fill="FFFFFF"/>
        <w:tabs>
          <w:tab w:val="clear" w:pos="708"/>
          <w:tab w:val="left" w:pos="1418" w:leader="none"/>
        </w:tabs>
        <w:ind w:left="0" w:firstLine="709"/>
        <w:jc w:val="both"/>
        <w:rPr/>
      </w:pPr>
      <w:r>
        <w:rPr>
          <w:highlight w:val="lightGray"/>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Pr/>
        <w:t>.</w:t>
      </w:r>
    </w:p>
    <w:p>
      <w:pPr>
        <w:pStyle w:val="Normal"/>
        <w:shd w:val="clear" w:color="auto" w:fill="FFFFFF"/>
        <w:tabs>
          <w:tab w:val="clear" w:pos="708"/>
          <w:tab w:val="left" w:pos="1418" w:leader="none"/>
        </w:tabs>
        <w:spacing w:lineRule="auto" w:line="240"/>
        <w:ind w:firstLine="709"/>
        <w:rPr/>
      </w:pPr>
      <w:r>
        <w:rPr>
          <w:sz w:val="24"/>
          <w:szCs w:val="24"/>
        </w:rPr>
        <w:t>3.9.</w:t>
      </w:r>
      <w:r>
        <w:rPr/>
        <w:t xml:space="preserve">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Сводной таблице стоимости работ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sz w:val="24"/>
          <w:szCs w:val="24"/>
        </w:rPr>
        <w:t>.</w:t>
      </w:r>
    </w:p>
    <w:p>
      <w:pPr>
        <w:pStyle w:val="ListParagraph"/>
        <w:shd w:val="clear" w:color="auto" w:fill="FFFFFF"/>
        <w:tabs>
          <w:tab w:val="clear" w:pos="708"/>
          <w:tab w:val="left" w:pos="1134" w:leader="none"/>
        </w:tabs>
        <w:ind w:left="0" w:firstLine="709"/>
        <w:jc w:val="both"/>
        <w:rPr>
          <w:bCs/>
        </w:rPr>
      </w:pPr>
      <w:r>
        <w:rPr>
          <w:bCs/>
        </w:rPr>
        <w:t xml:space="preserve">3.11. </w:t>
      </w:r>
      <w:r>
        <w:rPr>
          <w:bCs/>
          <w:highlight w:val="lightGray"/>
        </w:rPr>
        <w:t>Оборудование Заказчика, перечень которого указан в Приложении № 11 к Договору, в стоимости Работ по Договору не учитывается</w:t>
      </w:r>
      <w:r>
        <w:rPr>
          <w:bCs/>
        </w:rPr>
        <w:t>.</w:t>
      </w:r>
      <w:bookmarkStart w:id="27" w:name="_Ref361834251"/>
      <w:bookmarkEnd w:id="21"/>
    </w:p>
    <w:p>
      <w:pPr>
        <w:pStyle w:val="ListParagraph"/>
        <w:shd w:val="clear" w:color="auto" w:fill="FFFFFF"/>
        <w:tabs>
          <w:tab w:val="clear" w:pos="708"/>
          <w:tab w:val="left" w:pos="1134" w:leader="none"/>
          <w:tab w:val="left" w:pos="1418" w:leader="none"/>
        </w:tabs>
        <w:ind w:left="0" w:firstLine="709"/>
        <w:jc w:val="both"/>
        <w:rPr>
          <w:bCs/>
        </w:rPr>
      </w:pPr>
      <w:r>
        <w:rPr>
          <w:bCs/>
        </w:rPr>
        <w:t xml:space="preserve">3.12.  Индексация Цены Договора не допускается. </w:t>
      </w:r>
      <w:bookmarkEnd w:id="27"/>
    </w:p>
    <w:p>
      <w:pPr>
        <w:pStyle w:val="ListParagraph"/>
        <w:shd w:val="clear" w:color="auto" w:fill="FFFFFF"/>
        <w:tabs>
          <w:tab w:val="clear" w:pos="708"/>
          <w:tab w:val="left" w:pos="1134" w:leader="none"/>
          <w:tab w:val="left" w:pos="1418" w:leader="none"/>
        </w:tabs>
        <w:ind w:left="0" w:firstLine="709"/>
        <w:jc w:val="both"/>
        <w:rPr>
          <w:bCs/>
        </w:rPr>
      </w:pPr>
      <w:r>
        <w:rPr>
          <w:bCs/>
        </w:rPr>
        <w:t>3.13.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4"/>
        </w:numPr>
        <w:shd w:val="clear" w:color="auto" w:fill="FFFFFF"/>
        <w:tabs>
          <w:tab w:val="clear" w:pos="708"/>
          <w:tab w:val="left" w:pos="709" w:leader="none"/>
          <w:tab w:val="left" w:pos="1134" w:leader="none"/>
        </w:tabs>
        <w:ind w:left="0" w:firstLine="709"/>
        <w:jc w:val="both"/>
        <w:rPr/>
      </w:pPr>
      <w:bookmarkStart w:id="28" w:name="_Ref361336754"/>
      <w:bookmarkStart w:id="29" w:name="_Ref361335138"/>
      <w:bookmarkStart w:id="30" w:name="_Ref373242517"/>
      <w:r>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8"/>
      <w:bookmarkEnd w:id="29"/>
      <w:bookmarkEnd w:id="30"/>
    </w:p>
    <w:p>
      <w:pPr>
        <w:pStyle w:val="ListParagraph"/>
        <w:numPr>
          <w:ilvl w:val="1"/>
          <w:numId w:val="4"/>
        </w:numPr>
        <w:shd w:val="clear" w:color="auto" w:fill="FFFFFF"/>
        <w:tabs>
          <w:tab w:val="clear" w:pos="708"/>
          <w:tab w:val="left" w:pos="1134" w:leader="none"/>
        </w:tabs>
        <w:ind w:left="0" w:firstLine="709"/>
        <w:jc w:val="both"/>
        <w:rPr/>
      </w:pPr>
      <w:bookmarkStart w:id="31"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21"/>
        </w:numPr>
        <w:shd w:val="clear" w:color="auto" w:fill="FFFFFF"/>
        <w:tabs>
          <w:tab w:val="clear" w:pos="708"/>
          <w:tab w:val="left" w:pos="1418"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21"/>
        </w:numPr>
        <w:shd w:val="clear" w:color="auto" w:fill="FFFFFF"/>
        <w:tabs>
          <w:tab w:val="clear" w:pos="708"/>
          <w:tab w:val="left" w:pos="1418" w:leader="none"/>
        </w:tabs>
        <w:ind w:left="0" w:firstLine="709"/>
        <w:jc w:val="both"/>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t xml:space="preserve">в 3 (трех) экземплярах; </w:t>
      </w:r>
    </w:p>
    <w:p>
      <w:pPr>
        <w:pStyle w:val="ListParagraph"/>
        <w:numPr>
          <w:ilvl w:val="0"/>
          <w:numId w:val="21"/>
        </w:numPr>
        <w:shd w:val="clear" w:color="auto" w:fill="FFFFFF"/>
        <w:tabs>
          <w:tab w:val="clear" w:pos="708"/>
          <w:tab w:val="left" w:pos="1418" w:leader="none"/>
        </w:tabs>
        <w:ind w:left="0" w:firstLine="709"/>
        <w:jc w:val="both"/>
        <w:rPr/>
      </w:pPr>
      <w:r>
        <w:rPr>
          <w:bCs/>
        </w:rPr>
        <w:t>А</w:t>
      </w:r>
      <w:r>
        <w:rPr/>
        <w:t>кт КС-11 в 2 (двух) экземплярах;</w:t>
      </w:r>
    </w:p>
    <w:p>
      <w:pPr>
        <w:pStyle w:val="ListParagraph"/>
        <w:numPr>
          <w:ilvl w:val="0"/>
          <w:numId w:val="21"/>
        </w:numPr>
        <w:shd w:val="clear" w:color="auto" w:fill="FFFFFF"/>
        <w:tabs>
          <w:tab w:val="clear" w:pos="708"/>
          <w:tab w:val="left" w:pos="1418" w:leader="none"/>
        </w:tabs>
        <w:ind w:left="0" w:firstLine="709"/>
        <w:jc w:val="both"/>
        <w:rPr/>
      </w:pPr>
      <w:bookmarkStart w:id="32" w:name="_Ref361336865"/>
      <w:r>
        <w:rPr/>
        <w:t>Акт КС-14 (при необходимости) в 2 (двух) экземплярах.</w:t>
      </w:r>
      <w:bookmarkEnd w:id="32"/>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33"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pPr>
        <w:pStyle w:val="ListParagraph"/>
        <w:numPr>
          <w:ilvl w:val="1"/>
          <w:numId w:val="4"/>
        </w:numPr>
        <w:shd w:val="clear" w:color="auto" w:fill="FFFFFF"/>
        <w:tabs>
          <w:tab w:val="clear" w:pos="708"/>
          <w:tab w:val="left" w:pos="1134" w:leader="none"/>
        </w:tabs>
        <w:ind w:left="0" w:firstLine="709"/>
        <w:jc w:val="both"/>
        <w:rPr>
          <w:bCs/>
        </w:rPr>
      </w:pPr>
      <w:r>
        <w:rPr>
          <w:bCs/>
          <w:highlight w:val="lightGray"/>
        </w:rPr>
        <w:t>Стоимость Оборудования Заказчика, указанного в Приложении № 11 к Договору,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4.2 Договора</w:t>
      </w:r>
      <w:r>
        <w:rPr>
          <w:bCs/>
        </w:rPr>
        <w:t>.</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4"/>
        </w:numPr>
        <w:shd w:val="clear" w:color="auto" w:fill="FFFFFF"/>
        <w:tabs>
          <w:tab w:val="clear" w:pos="708"/>
          <w:tab w:val="left" w:pos="1134" w:leader="none"/>
        </w:tabs>
        <w:ind w:left="0" w:firstLine="709"/>
        <w:jc w:val="both"/>
        <w:rPr>
          <w:bCs/>
        </w:rPr>
      </w:pPr>
      <w:bookmarkStart w:id="34" w:name="_Ref361405028"/>
      <w:r>
        <w:rPr>
          <w:bCs/>
        </w:rPr>
        <w:t xml:space="preserve">Риск случайной гибели или повреждения Результата работ </w:t>
      </w:r>
      <w:r>
        <w:rPr>
          <w:bCs/>
          <w:highlight w:val="lightGray"/>
        </w:rPr>
        <w:t>(кроме Проектных работ)</w:t>
      </w:r>
      <w:r>
        <w:rPr>
          <w:bCs/>
        </w:rPr>
        <w:t xml:space="preserve"> в отношении каждого Объекта, включая </w:t>
      </w:r>
      <w:r>
        <w:rPr>
          <w:bCs/>
          <w:highlight w:val="lightGray"/>
        </w:rPr>
        <w:t>Оборудование Заказчика и</w:t>
      </w:r>
      <w:r>
        <w:rPr>
          <w:bCs/>
        </w:rPr>
        <w:t xml:space="preserve"> Материально-технические ресурсы и оборудование,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4"/>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4"/>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1"/>
          <w:numId w:val="4"/>
        </w:numPr>
        <w:shd w:val="clear" w:color="auto" w:fill="FFFFFF"/>
        <w:tabs>
          <w:tab w:val="clear" w:pos="708"/>
          <w:tab w:val="left" w:pos="1134" w:leader="none"/>
        </w:tabs>
        <w:ind w:left="0" w:firstLine="709"/>
        <w:jc w:val="both"/>
        <w:rPr>
          <w:bCs/>
        </w:rPr>
      </w:pPr>
      <w:r>
        <w:rPr>
          <w:bCs/>
          <w:highlight w:val="lightGray"/>
        </w:rPr>
        <w:t>Передача Заказчиком Оборудования Заказчика, указанного в Приложении № 11 к Договору, осуществляется без перехода права собственности на данное имущество к Подрядчику</w:t>
      </w:r>
      <w:r>
        <w:rPr>
          <w:bCs/>
        </w:rPr>
        <w:t>.</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Банковские гарантии</w:t>
      </w:r>
    </w:p>
    <w:p>
      <w:pPr>
        <w:pStyle w:val="ListParagraph"/>
        <w:numPr>
          <w:ilvl w:val="1"/>
          <w:numId w:val="4"/>
        </w:numPr>
        <w:shd w:val="clear" w:color="auto" w:fill="FFFFFF"/>
        <w:tabs>
          <w:tab w:val="clear" w:pos="708"/>
          <w:tab w:val="left" w:pos="1134" w:leader="none"/>
        </w:tabs>
        <w:ind w:left="0" w:firstLine="709"/>
        <w:jc w:val="both"/>
        <w:rPr>
          <w:bCs/>
        </w:rPr>
      </w:pPr>
      <w:r>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pPr>
        <w:pStyle w:val="ListParagraph"/>
        <w:numPr>
          <w:ilvl w:val="2"/>
          <w:numId w:val="4"/>
        </w:numPr>
        <w:shd w:val="clear" w:color="auto" w:fill="FFFFFF"/>
        <w:tabs>
          <w:tab w:val="clear" w:pos="708"/>
          <w:tab w:val="left" w:pos="1418" w:leader="none"/>
        </w:tabs>
        <w:ind w:left="0" w:firstLine="709"/>
        <w:jc w:val="both"/>
        <w:rPr>
          <w:bCs/>
        </w:rPr>
      </w:pPr>
      <w:r>
        <w:rPr>
          <w:bCs/>
        </w:rPr>
        <w:t>Банковская гарантия должна быть безотзывной и безусловной (гарантия по первому требованию);</w:t>
      </w:r>
    </w:p>
    <w:p>
      <w:pPr>
        <w:pStyle w:val="ListParagraph"/>
        <w:numPr>
          <w:ilvl w:val="2"/>
          <w:numId w:val="4"/>
        </w:numPr>
        <w:shd w:val="clear" w:color="auto" w:fill="FFFFFF"/>
        <w:tabs>
          <w:tab w:val="clear" w:pos="708"/>
          <w:tab w:val="left" w:pos="1418" w:leader="none"/>
        </w:tabs>
        <w:ind w:left="0" w:firstLine="709"/>
        <w:jc w:val="both"/>
        <w:rPr>
          <w:bCs/>
        </w:rPr>
      </w:pPr>
      <w:r>
        <w:rPr>
          <w:bCs/>
        </w:rPr>
        <w:t>Бенефициар по Банковской гарантии – Заказчик, принципал – Подрядчик;</w:t>
      </w:r>
    </w:p>
    <w:p>
      <w:pPr>
        <w:pStyle w:val="ListParagraph"/>
        <w:numPr>
          <w:ilvl w:val="2"/>
          <w:numId w:val="4"/>
        </w:numPr>
        <w:shd w:val="clear" w:color="auto" w:fill="FFFFFF"/>
        <w:tabs>
          <w:tab w:val="clear" w:pos="708"/>
          <w:tab w:val="left" w:pos="1418" w:leader="none"/>
        </w:tabs>
        <w:ind w:left="0" w:firstLine="709"/>
        <w:jc w:val="both"/>
        <w:rPr>
          <w:bCs/>
        </w:rPr>
      </w:pPr>
      <w:r>
        <w:rPr>
          <w:bCs/>
        </w:rPr>
        <w:t>Сумма Банковской гарантии должна быть выражена в валюте расчетов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br/>
        <w:t xml:space="preserve">в совокупной сумме с учетом ранее выплаченных Подрядчику и неотработанных авансовых платежей; </w:t>
      </w:r>
    </w:p>
    <w:p>
      <w:pPr>
        <w:pStyle w:val="ListParagraph"/>
        <w:numPr>
          <w:ilvl w:val="2"/>
          <w:numId w:val="4"/>
        </w:numPr>
        <w:shd w:val="clear" w:color="auto" w:fill="FFFFFF"/>
        <w:tabs>
          <w:tab w:val="clear" w:pos="708"/>
          <w:tab w:val="left" w:pos="1418" w:leader="none"/>
        </w:tabs>
        <w:ind w:left="0" w:firstLine="709"/>
        <w:jc w:val="both"/>
        <w:rPr>
          <w:bCs/>
        </w:rPr>
      </w:pPr>
      <w:r>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pPr>
        <w:pStyle w:val="ListParagraph"/>
        <w:numPr>
          <w:ilvl w:val="2"/>
          <w:numId w:val="4"/>
        </w:numPr>
        <w:shd w:val="clear" w:color="auto" w:fill="FFFFFF"/>
        <w:tabs>
          <w:tab w:val="clear" w:pos="708"/>
          <w:tab w:val="left" w:pos="1418" w:leader="none"/>
        </w:tabs>
        <w:ind w:left="0" w:firstLine="709"/>
        <w:jc w:val="both"/>
        <w:rPr>
          <w:bCs/>
        </w:rPr>
      </w:pPr>
      <w:r>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Pr/>
        <w:t xml:space="preserve"> </w:t>
      </w:r>
      <w:r>
        <w:rPr>
          <w:bCs/>
        </w:rPr>
        <w:t>как полностью, так и частично, с указанием на существо допущенных Подрядчиком нарушений, в том числе в случаях: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нарушения Подрядчиком сроков</w:t>
      </w:r>
      <w:r>
        <w:rPr/>
        <w:t xml:space="preserve"> </w:t>
      </w:r>
      <w:r>
        <w:rPr>
          <w:bCs/>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введения арбитражным судом процедуры несостоятельности (банкротства)</w:t>
      </w:r>
      <w:r>
        <w:rPr/>
        <w:t xml:space="preserve"> </w:t>
      </w:r>
      <w:r>
        <w:rPr>
          <w:bCs/>
          <w:sz w:val="24"/>
          <w:szCs w:val="24"/>
        </w:rPr>
        <w:t>в отношении Подрядчика;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6"/>
        </w:numPr>
        <w:tabs>
          <w:tab w:val="clear" w:pos="708"/>
          <w:tab w:val="left" w:pos="1418" w:leader="none"/>
        </w:tabs>
        <w:spacing w:lineRule="auto" w:line="240"/>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pPr>
        <w:pStyle w:val="ListParagraph"/>
        <w:shd w:val="clear" w:color="auto" w:fill="FFFFFF"/>
        <w:tabs>
          <w:tab w:val="clear" w:pos="708"/>
          <w:tab w:val="left" w:pos="1418" w:leader="none"/>
        </w:tabs>
        <w:ind w:left="0" w:firstLine="709"/>
        <w:jc w:val="both"/>
        <w:rPr>
          <w:bCs/>
        </w:rPr>
      </w:pPr>
      <w:r>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pPr>
        <w:pStyle w:val="ListParagraph"/>
        <w:numPr>
          <w:ilvl w:val="2"/>
          <w:numId w:val="4"/>
        </w:numPr>
        <w:shd w:val="clear" w:color="auto" w:fill="FFFFFF"/>
        <w:tabs>
          <w:tab w:val="clear" w:pos="708"/>
          <w:tab w:val="left" w:pos="1418" w:leader="none"/>
        </w:tabs>
        <w:ind w:left="0" w:firstLine="709"/>
        <w:jc w:val="both"/>
        <w:rPr>
          <w:bCs/>
        </w:rPr>
      </w:pPr>
      <w:r>
        <w:rPr>
          <w:bCs/>
        </w:rPr>
        <w:t>Платеж по Банковской гарантии – осуществляется Банком-Гарантом в течение 10 (десяти) рабочих дней после обращения Заказчика;</w:t>
      </w:r>
    </w:p>
    <w:p>
      <w:pPr>
        <w:pStyle w:val="ListParagraph"/>
        <w:numPr>
          <w:ilvl w:val="2"/>
          <w:numId w:val="4"/>
        </w:numPr>
        <w:shd w:val="clear" w:color="auto" w:fill="FFFFFF"/>
        <w:tabs>
          <w:tab w:val="clear" w:pos="708"/>
          <w:tab w:val="left" w:pos="1418" w:leader="none"/>
        </w:tabs>
        <w:ind w:left="0" w:firstLine="709"/>
        <w:jc w:val="both"/>
        <w:rPr>
          <w:bCs/>
        </w:rPr>
      </w:pPr>
      <w:r>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pPr>
        <w:pStyle w:val="ListParagraph"/>
        <w:numPr>
          <w:ilvl w:val="2"/>
          <w:numId w:val="4"/>
        </w:numPr>
        <w:shd w:val="clear" w:color="auto" w:fill="FFFFFF"/>
        <w:tabs>
          <w:tab w:val="clear" w:pos="708"/>
          <w:tab w:val="left" w:pos="1418" w:leader="none"/>
        </w:tabs>
        <w:ind w:left="0" w:firstLine="709"/>
        <w:jc w:val="both"/>
        <w:rPr>
          <w:bCs/>
        </w:rPr>
      </w:pPr>
      <w:r>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pPr>
        <w:pStyle w:val="Normal"/>
        <w:widowControl w:val="false"/>
        <w:spacing w:lineRule="auto" w:line="240"/>
        <w:ind w:firstLine="709"/>
        <w:rPr>
          <w:sz w:val="24"/>
          <w:szCs w:val="24"/>
        </w:rPr>
      </w:pPr>
      <w:r>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pPr>
        <w:pStyle w:val="ListParagraph"/>
        <w:numPr>
          <w:ilvl w:val="2"/>
          <w:numId w:val="4"/>
        </w:numPr>
        <w:shd w:val="clear" w:color="auto" w:fill="FFFFFF"/>
        <w:tabs>
          <w:tab w:val="clear" w:pos="708"/>
          <w:tab w:val="left" w:pos="1418" w:leader="none"/>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pPr>
        <w:pStyle w:val="ListParagraph"/>
        <w:numPr>
          <w:ilvl w:val="2"/>
          <w:numId w:val="4"/>
        </w:numPr>
        <w:shd w:val="clear" w:color="auto" w:fill="FFFFFF"/>
        <w:tabs>
          <w:tab w:val="clear" w:pos="708"/>
          <w:tab w:val="left" w:pos="1418" w:leader="none"/>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pPr>
        <w:pStyle w:val="Normal"/>
        <w:numPr>
          <w:ilvl w:val="1"/>
          <w:numId w:val="4"/>
        </w:numPr>
        <w:spacing w:lineRule="auto" w:line="240"/>
        <w:ind w:left="0" w:firstLine="709"/>
        <w:rPr>
          <w:bCs/>
          <w:sz w:val="24"/>
          <w:szCs w:val="24"/>
        </w:rPr>
      </w:pPr>
      <w:r>
        <w:rPr>
          <w:bCs/>
          <w:sz w:val="24"/>
          <w:szCs w:val="24"/>
        </w:rPr>
        <w:t>Банк, выдавший Банковскую гарантию, должен соответствовать критериям, указанным в Приложении № 13 к Договору.</w:t>
      </w:r>
    </w:p>
    <w:p>
      <w:pPr>
        <w:pStyle w:val="Normal"/>
        <w:numPr>
          <w:ilvl w:val="1"/>
          <w:numId w:val="4"/>
        </w:numPr>
        <w:spacing w:lineRule="auto" w:line="240"/>
        <w:ind w:left="0" w:firstLine="709"/>
        <w:rPr>
          <w:bCs/>
          <w:sz w:val="24"/>
        </w:rPr>
      </w:pPr>
      <w:r>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4"/>
        </w:numPr>
        <w:shd w:val="clear" w:color="auto" w:fill="FFFFFF"/>
        <w:tabs>
          <w:tab w:val="clear" w:pos="708"/>
          <w:tab w:val="left" w:pos="1134" w:leader="none"/>
        </w:tabs>
        <w:ind w:left="0" w:firstLine="709"/>
        <w:jc w:val="both"/>
        <w:rPr>
          <w:bCs/>
        </w:rPr>
      </w:pPr>
      <w:r>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случаях</w:t>
      </w:r>
      <w:r>
        <w:rPr>
          <w:bCs/>
          <w:lang w:val="en-US"/>
        </w:rPr>
        <w:t>:</w:t>
      </w:r>
      <w:r>
        <w:rPr>
          <w:bCs/>
        </w:rPr>
        <w:t xml:space="preserve"> </w:t>
      </w:r>
    </w:p>
    <w:p>
      <w:pPr>
        <w:pStyle w:val="ListParagraph"/>
        <w:numPr>
          <w:ilvl w:val="1"/>
          <w:numId w:val="17"/>
        </w:numPr>
        <w:shd w:val="clear" w:color="auto" w:fill="FFFFFF"/>
        <w:tabs>
          <w:tab w:val="clear" w:pos="708"/>
          <w:tab w:val="left" w:pos="1134" w:leader="none"/>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7"/>
        </w:numPr>
        <w:shd w:val="clear" w:color="auto" w:fill="FFFFFF"/>
        <w:tabs>
          <w:tab w:val="clear" w:pos="708"/>
          <w:tab w:val="left" w:pos="1134" w:leader="none"/>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8"/>
          <w:tab w:val="left" w:pos="1134" w:leader="none"/>
        </w:tabs>
        <w:ind w:left="0" w:firstLine="709"/>
        <w:jc w:val="both"/>
        <w:rPr>
          <w:bCs/>
        </w:rPr>
      </w:pPr>
      <w:r>
        <w:rPr>
          <w:bCs/>
        </w:rPr>
        <w:t>Подрядчик обязан предоставить Заказчику новую Банковскую гарантию</w:t>
      </w:r>
      <w:r>
        <w:rP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left="0" w:firstLine="709"/>
        <w:jc w:val="both"/>
        <w:rPr>
          <w:bCs/>
        </w:rPr>
      </w:pPr>
      <w:r>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Pr/>
        <w:t>и / или сумму ранее выплаченного Обеспечительного платежа при выплате каждого платежа, причитающегося Подрядчику.</w:t>
      </w:r>
    </w:p>
    <w:p>
      <w:pPr>
        <w:pStyle w:val="ListParagraph"/>
        <w:numPr>
          <w:ilvl w:val="1"/>
          <w:numId w:val="4"/>
        </w:numPr>
        <w:shd w:val="clear" w:color="auto" w:fill="FFFFFF"/>
        <w:tabs>
          <w:tab w:val="clear" w:pos="708"/>
          <w:tab w:val="left" w:pos="1134" w:leader="none"/>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3.5.3, 3.8.2 Договора</w:t>
      </w:r>
      <w:r>
        <w:rPr/>
        <w:t xml:space="preserve">. </w:t>
      </w:r>
      <w:r>
        <w:rPr>
          <w:bCs/>
        </w:rPr>
        <w:t xml:space="preserve"> </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4"/>
        </w:numPr>
        <w:tabs>
          <w:tab w:val="clear" w:pos="708"/>
          <w:tab w:val="left" w:pos="1134" w:leader="none"/>
        </w:tabs>
        <w:spacing w:lineRule="auto" w:line="240"/>
        <w:ind w:left="0" w:firstLine="709"/>
        <w:rPr>
          <w:bCs/>
          <w:sz w:val="24"/>
          <w:szCs w:val="24"/>
        </w:rPr>
      </w:pPr>
      <w:r>
        <w:rPr>
          <w:kern w:val="2"/>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4"/>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ListParagraph"/>
        <w:numPr>
          <w:ilvl w:val="2"/>
          <w:numId w:val="4"/>
        </w:numPr>
        <w:spacing w:lineRule="auto" w:line="247" w:before="0" w:after="5"/>
        <w:ind w:left="0" w:right="135" w:firstLine="709"/>
        <w:contextualSpacing/>
        <w:jc w:val="both"/>
        <w:rPr/>
      </w:pPr>
      <w:r>
        <w:rPr/>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Normal"/>
        <w:widowControl w:val="false"/>
        <w:numPr>
          <w:ilvl w:val="1"/>
          <w:numId w:val="4"/>
        </w:numPr>
        <w:shd w:val="clear" w:color="auto" w:fill="FFFFFF"/>
        <w:tabs>
          <w:tab w:val="clear" w:pos="708"/>
          <w:tab w:val="left" w:pos="1134" w:leader="none"/>
        </w:tabs>
        <w:spacing w:lineRule="auto" w:line="240"/>
        <w:ind w:left="0" w:firstLine="709"/>
        <w:rPr>
          <w:sz w:val="24"/>
          <w:szCs w:val="24"/>
        </w:rPr>
      </w:pPr>
      <w:r>
        <w:rPr>
          <w:kern w:val="2"/>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pPr>
        <w:pStyle w:val="ListParagraph"/>
        <w:numPr>
          <w:ilvl w:val="1"/>
          <w:numId w:val="4"/>
        </w:numPr>
        <w:shd w:val="clear" w:color="auto" w:fill="FFFFFF"/>
        <w:tabs>
          <w:tab w:val="clear" w:pos="708"/>
          <w:tab w:val="left" w:pos="1134" w:leader="none"/>
        </w:tabs>
        <w:ind w:left="0" w:firstLine="709"/>
        <w:jc w:val="both"/>
        <w:rPr/>
      </w:pPr>
      <w:r>
        <w:rPr>
          <w:highlight w:val="lightGray"/>
        </w:rPr>
        <w:t xml:space="preserve">В случае нарушения Подрядчиком сроков </w:t>
      </w:r>
      <w:r>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Pr>
          <w:highlight w:val="lightGray"/>
        </w:rPr>
        <w:t xml:space="preserve">Заказчик вправе требовать уплаты Подрядчиком </w:t>
      </w:r>
      <w:r>
        <w:rPr>
          <w:color w:val="000000"/>
          <w:highlight w:val="lightGray"/>
        </w:rPr>
        <w:t>неустойки</w:t>
      </w:r>
      <w:r>
        <w:rPr>
          <w:highlight w:val="lightGray"/>
        </w:rPr>
        <w:t xml:space="preserve"> в размере </w:t>
      </w:r>
      <w:r>
        <w:rPr>
          <w:color w:val="000000"/>
          <w:highlight w:val="lightGray"/>
        </w:rPr>
        <w:t>0,05 (ноль целых пять сотых) % от Цены Договора</w:t>
      </w:r>
      <w:r>
        <w:rPr>
          <w:highlight w:val="lightGray"/>
        </w:rPr>
        <w:t xml:space="preserve"> за каждый </w:t>
      </w:r>
      <w:r>
        <w:rPr>
          <w:color w:val="000000"/>
          <w:highlight w:val="lightGray"/>
        </w:rPr>
        <w:t>день просрочки</w:t>
      </w:r>
      <w:r>
        <w:rPr>
          <w:color w:val="000000"/>
        </w:rPr>
        <w:t>.</w:t>
      </w:r>
      <w:r>
        <w:rPr>
          <w:rStyle w:val="Style11"/>
          <w:color w:val="000000"/>
        </w:rPr>
        <w:footnoteReference w:id="10"/>
      </w:r>
    </w:p>
    <w:p>
      <w:pPr>
        <w:pStyle w:val="ListParagraph"/>
        <w:numPr>
          <w:ilvl w:val="1"/>
          <w:numId w:val="4"/>
        </w:numPr>
        <w:shd w:val="clear" w:color="auto" w:fill="FFFFFF"/>
        <w:tabs>
          <w:tab w:val="clear" w:pos="708"/>
          <w:tab w:val="left" w:pos="1134" w:leader="none"/>
        </w:tabs>
        <w:ind w:left="0" w:firstLine="709"/>
        <w:jc w:val="both"/>
        <w:rPr>
          <w:bCs/>
          <w:highlight w:val="lightGray"/>
        </w:rPr>
      </w:pPr>
      <w:r>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b/>
          <w:color w:val="000000"/>
        </w:rPr>
        <w:t xml:space="preserve"> </w:t>
      </w:r>
    </w:p>
    <w:p>
      <w:pPr>
        <w:pStyle w:val="Normal"/>
        <w:shd w:val="clear" w:color="auto" w:fill="FFFFFF"/>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4"/>
        </w:numPr>
        <w:shd w:val="clear" w:color="auto" w:fill="FFFFFF"/>
        <w:tabs>
          <w:tab w:val="clear" w:pos="708"/>
          <w:tab w:val="left" w:pos="1276" w:leader="none"/>
          <w:tab w:val="left" w:pos="6300" w:leader="none"/>
        </w:tabs>
        <w:ind w:left="0" w:firstLine="709"/>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4"/>
        </w:numPr>
        <w:shd w:val="clear" w:color="auto" w:fill="FFFFFF"/>
        <w:tabs>
          <w:tab w:val="clear" w:pos="708"/>
          <w:tab w:val="left" w:pos="1134" w:leader="none"/>
        </w:tabs>
        <w:ind w:left="0" w:firstLine="709"/>
        <w:jc w:val="both"/>
        <w:rPr>
          <w:bCs/>
        </w:rPr>
      </w:pPr>
      <w:r>
        <w:rPr>
          <w:bCs/>
          <w:highlight w:val="lightGray"/>
        </w:rPr>
        <w:t>Подрядчик несет ответственность за сохранность и целевое использование полученных от Заказчика Оборудования Заказчика, перечень которого указан в Приложении № 11 к Договору</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 15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Pr>
          <w:kern w:val="2"/>
        </w:rPr>
        <w:t xml:space="preserve"> ранее принятые по Договору, и потребовать возврата уплаченных денежных средств.</w:t>
      </w:r>
    </w:p>
    <w:p>
      <w:pPr>
        <w:pStyle w:val="Normal"/>
        <w:spacing w:lineRule="auto" w:line="240"/>
        <w:rPr>
          <w:b/>
          <w:b/>
          <w:color w:val="000000"/>
          <w:sz w:val="24"/>
          <w:szCs w:val="24"/>
        </w:rPr>
      </w:pPr>
      <w:r>
        <w:rPr>
          <w:b/>
          <w:color w:val="000000"/>
          <w:sz w:val="24"/>
          <w:szCs w:val="24"/>
        </w:rPr>
      </w:r>
    </w:p>
    <w:p>
      <w:pPr>
        <w:pStyle w:val="ListParagraph"/>
        <w:numPr>
          <w:ilvl w:val="0"/>
          <w:numId w:val="4"/>
        </w:numPr>
        <w:shd w:val="clear" w:color="auto" w:fill="FFFFFF"/>
        <w:tabs>
          <w:tab w:val="clear" w:pos="708"/>
          <w:tab w:val="left" w:pos="284" w:leader="none"/>
        </w:tabs>
        <w:ind w:left="0" w:hanging="0"/>
        <w:jc w:val="center"/>
        <w:rPr>
          <w:b/>
          <w:b/>
          <w:bCs/>
        </w:rPr>
      </w:pPr>
      <w:r>
        <w:rPr>
          <w:b/>
          <w:bCs/>
        </w:rPr>
        <w:t>Гарантии качества Результата работ</w:t>
      </w:r>
    </w:p>
    <w:p>
      <w:pPr>
        <w:pStyle w:val="Normal"/>
        <w:numPr>
          <w:ilvl w:val="1"/>
          <w:numId w:val="4"/>
        </w:numPr>
        <w:tabs>
          <w:tab w:val="clear" w:pos="708"/>
          <w:tab w:val="left" w:pos="1134" w:leader="none"/>
        </w:tabs>
        <w:spacing w:lineRule="auto" w:line="240"/>
        <w:ind w:left="0" w:firstLine="709"/>
        <w:rPr>
          <w:bCs/>
          <w:sz w:val="24"/>
          <w:szCs w:val="24"/>
        </w:rPr>
      </w:pPr>
      <w:bookmarkStart w:id="35" w:name="_Ref361337777"/>
      <w:r>
        <w:rPr>
          <w:sz w:val="24"/>
          <w:szCs w:val="24"/>
        </w:rPr>
        <w:t>Гарантийный</w:t>
      </w:r>
      <w:r>
        <w:rPr>
          <w:bCs/>
          <w:sz w:val="24"/>
          <w:szCs w:val="24"/>
        </w:rPr>
        <w:t xml:space="preserve"> срок по Договору составляет </w:t>
      </w:r>
      <w:r>
        <w:rPr>
          <w:sz w:val="24"/>
          <w:szCs w:val="24"/>
        </w:rPr>
        <w:t xml:space="preserve">60 </w:t>
      </w:r>
      <w:r>
        <w:rPr>
          <w:bCs/>
          <w:sz w:val="24"/>
          <w:szCs w:val="24"/>
        </w:rPr>
        <w:t>(шестьдесят)</w:t>
      </w:r>
      <w:r>
        <w:rPr>
          <w:sz w:val="24"/>
          <w:szCs w:val="24"/>
        </w:rPr>
        <w:t xml:space="preserve"> месяцев</w:t>
      </w:r>
      <w:r>
        <w:rPr>
          <w:bCs/>
          <w:sz w:val="24"/>
          <w:szCs w:val="24"/>
        </w:rPr>
        <w:t xml:space="preserve"> и начинает течь с даты подписания Сторонами А</w:t>
      </w:r>
      <w:r>
        <w:rPr>
          <w:sz w:val="24"/>
          <w:szCs w:val="24"/>
        </w:rPr>
        <w:t>кта КС-11</w:t>
      </w:r>
      <w:r>
        <w:rPr>
          <w:bCs/>
          <w:sz w:val="24"/>
          <w:szCs w:val="24"/>
        </w:rPr>
        <w:t xml:space="preserve"> </w:t>
      </w:r>
      <w:bookmarkEnd w:id="35"/>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4"/>
        </w:numPr>
        <w:shd w:val="clear" w:color="auto" w:fill="FFFFFF"/>
        <w:tabs>
          <w:tab w:val="clear" w:pos="708"/>
          <w:tab w:val="left" w:pos="1134" w:leader="none"/>
        </w:tabs>
        <w:ind w:left="0" w:firstLine="709"/>
        <w:jc w:val="both"/>
        <w:rPr>
          <w:bCs/>
        </w:rPr>
      </w:pPr>
      <w:bookmarkStart w:id="36"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37" w:name="OLE_LINK6"/>
      <w:bookmarkStart w:id="38" w:name="OLE_LINK5"/>
      <w:r>
        <w:rPr>
          <w:bCs/>
        </w:rPr>
        <w:t>Акте о недостатках, составленном в порядке, установленном пунктом 8.5 Договора</w:t>
      </w:r>
      <w:bookmarkEnd w:id="37"/>
      <w:bookmarkEnd w:id="38"/>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4"/>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Конфиденциальность</w:t>
      </w:r>
    </w:p>
    <w:p>
      <w:pPr>
        <w:pStyle w:val="ListParagraph"/>
        <w:numPr>
          <w:ilvl w:val="1"/>
          <w:numId w:val="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7"/>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7"/>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7"/>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8"/>
          <w:tab w:val="left" w:pos="1134" w:leader="none"/>
        </w:tabs>
        <w:ind w:left="0" w:firstLine="709"/>
        <w:jc w:val="both"/>
        <w:rPr>
          <w:bCs/>
        </w:rPr>
      </w:pPr>
      <w:bookmarkStart w:id="39"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9"/>
      <w:r>
        <w:rPr>
          <w:bCs/>
        </w:rPr>
        <w:t xml:space="preserve"> </w:t>
      </w:r>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4"/>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8"/>
          <w:tab w:val="left" w:pos="1701" w:leader="none"/>
        </w:tabs>
        <w:ind w:left="0" w:firstLine="709"/>
        <w:jc w:val="both"/>
        <w:rPr>
          <w:bCs/>
        </w:rPr>
      </w:pPr>
      <w:bookmarkStart w:id="40"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8"/>
          <w:tab w:val="left" w:pos="1134" w:leader="none"/>
        </w:tabs>
        <w:ind w:left="0" w:firstLine="709"/>
        <w:jc w:val="both"/>
        <w:rPr>
          <w:bCs/>
        </w:rPr>
      </w:pPr>
      <w:bookmarkStart w:id="41"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Антикоррупционная оговорка</w:t>
      </w:r>
    </w:p>
    <w:p>
      <w:pPr>
        <w:pStyle w:val="ListParagraph"/>
        <w:numPr>
          <w:ilvl w:val="1"/>
          <w:numId w:val="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8"/>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42"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6"/>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6"/>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pPr>
        <w:pStyle w:val="ListParagraph"/>
        <w:numPr>
          <w:ilvl w:val="1"/>
          <w:numId w:val="4"/>
        </w:numPr>
        <w:shd w:val="clear" w:color="auto" w:fill="FFFFFF"/>
        <w:tabs>
          <w:tab w:val="clear" w:pos="708"/>
          <w:tab w:val="left" w:pos="1134" w:leader="none"/>
        </w:tabs>
        <w:ind w:left="0" w:firstLine="709"/>
        <w:jc w:val="both"/>
        <w:rPr>
          <w:bCs/>
        </w:rPr>
      </w:pPr>
      <w:bookmarkStart w:id="43"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43"/>
    </w:p>
    <w:p>
      <w:pPr>
        <w:pStyle w:val="ListParagraph"/>
        <w:numPr>
          <w:ilvl w:val="1"/>
          <w:numId w:val="4"/>
        </w:numPr>
        <w:shd w:val="clear" w:color="auto" w:fill="FFFFFF"/>
        <w:tabs>
          <w:tab w:val="clear" w:pos="708"/>
          <w:tab w:val="left" w:pos="1134" w:leader="none"/>
        </w:tabs>
        <w:ind w:left="0" w:firstLine="709"/>
        <w:jc w:val="both"/>
        <w:rPr>
          <w:bCs/>
        </w:rPr>
      </w:pPr>
      <w:bookmarkStart w:id="44"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pPr>
        <w:pStyle w:val="ListParagraph"/>
        <w:numPr>
          <w:ilvl w:val="1"/>
          <w:numId w:val="4"/>
        </w:numPr>
        <w:shd w:val="clear" w:color="auto" w:fill="FFFFFF"/>
        <w:tabs>
          <w:tab w:val="clear" w:pos="708"/>
          <w:tab w:val="left" w:pos="1134" w:leader="none"/>
        </w:tabs>
        <w:ind w:left="0" w:firstLine="709"/>
        <w:jc w:val="both"/>
        <w:rPr>
          <w:bCs/>
        </w:rPr>
      </w:pPr>
      <w:bookmarkStart w:id="45"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45"/>
    </w:p>
    <w:p>
      <w:pPr>
        <w:pStyle w:val="ListParagraph"/>
        <w:numPr>
          <w:ilvl w:val="1"/>
          <w:numId w:val="4"/>
        </w:numPr>
        <w:shd w:val="clear" w:color="auto" w:fill="FFFFFF"/>
        <w:tabs>
          <w:tab w:val="clear" w:pos="708"/>
          <w:tab w:val="left" w:pos="1134" w:leader="none"/>
        </w:tabs>
        <w:ind w:left="0" w:firstLine="709"/>
        <w:jc w:val="both"/>
        <w:rPr>
          <w:bCs/>
        </w:rPr>
      </w:pPr>
      <w:bookmarkStart w:id="46"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46"/>
    </w:p>
    <w:p>
      <w:pPr>
        <w:pStyle w:val="ListParagraph"/>
        <w:numPr>
          <w:ilvl w:val="1"/>
          <w:numId w:val="4"/>
        </w:numPr>
        <w:shd w:val="clear" w:color="auto" w:fill="FFFFFF"/>
        <w:tabs>
          <w:tab w:val="clear" w:pos="708"/>
          <w:tab w:val="left" w:pos="1134" w:leader="none"/>
        </w:tabs>
        <w:ind w:left="0" w:firstLine="709"/>
        <w:jc w:val="both"/>
        <w:rPr>
          <w:bCs/>
        </w:rPr>
      </w:pPr>
      <w:bookmarkStart w:id="47"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47"/>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5"/>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5"/>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5"/>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5"/>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4"/>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b/>
        </w:rPr>
      </w:pPr>
      <w:r>
        <w:rPr>
          <w:b/>
        </w:rPr>
      </w:r>
    </w:p>
    <w:p>
      <w:pPr>
        <w:pStyle w:val="ListParagraph"/>
        <w:numPr>
          <w:ilvl w:val="0"/>
          <w:numId w:val="4"/>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2"/>
        </w:numPr>
        <w:tabs>
          <w:tab w:val="clear" w:pos="708"/>
          <w:tab w:val="left" w:pos="1134" w:leader="none"/>
        </w:tabs>
        <w:ind w:left="0" w:right="23" w:firstLine="709"/>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Pr>
          <w:highlight w:val="lightGray"/>
        </w:rPr>
        <w:t>30 (тридцать) календарных дней</w:t>
      </w:r>
      <w:r>
        <w:rPr>
          <w:rStyle w:val="Style11"/>
          <w:highlight w:val="lightGray"/>
        </w:rPr>
        <w:footnoteReference w:id="11"/>
      </w:r>
      <w:r>
        <w:rPr>
          <w:highlight w:val="lightGray"/>
        </w:rPr>
        <w:t xml:space="preserve"> / 60 (шестьдесят) календарных дней</w:t>
      </w:r>
      <w:r>
        <w:rPr>
          <w:rStyle w:val="Style11"/>
          <w:highlight w:val="lightGray"/>
        </w:rPr>
        <w:footnoteReference w:id="12"/>
      </w:r>
      <w:r>
        <w:rPr/>
        <w:t xml:space="preserve"> по причинам, не зависящим от Заказчика;</w:t>
      </w:r>
    </w:p>
    <w:p>
      <w:pPr>
        <w:pStyle w:val="ListParagraph"/>
        <w:numPr>
          <w:ilvl w:val="0"/>
          <w:numId w:val="12"/>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2"/>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2"/>
        </w:numPr>
        <w:tabs>
          <w:tab w:val="clear" w:pos="708"/>
          <w:tab w:val="left" w:pos="1134" w:leader="none"/>
        </w:tabs>
        <w:ind w:left="0" w:right="23" w:firstLine="709"/>
        <w:jc w:val="both"/>
        <w:rPr/>
      </w:pPr>
      <w:r>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pPr>
        <w:pStyle w:val="ListParagraph"/>
        <w:numPr>
          <w:ilvl w:val="0"/>
          <w:numId w:val="12"/>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12"/>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2"/>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2"/>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12"/>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4"/>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r>
        <w:rPr/>
        <w:t xml:space="preserve"> </w:t>
      </w:r>
      <w:r>
        <w:rPr>
          <w:bCs/>
        </w:rPr>
        <w:t>Оборудование Заказчика;</w:t>
      </w:r>
    </w:p>
    <w:p>
      <w:pPr>
        <w:pStyle w:val="ListParagraph"/>
        <w:numPr>
          <w:ilvl w:val="0"/>
          <w:numId w:val="24"/>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24"/>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4"/>
        </w:numPr>
        <w:shd w:val="clear" w:color="auto" w:fill="FFFFFF"/>
        <w:tabs>
          <w:tab w:val="clear" w:pos="708"/>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3.5.5 Договора.</w:t>
      </w:r>
    </w:p>
    <w:p>
      <w:pPr>
        <w:pStyle w:val="ListParagraph"/>
        <w:numPr>
          <w:ilvl w:val="1"/>
          <w:numId w:val="4"/>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p>
    <w:p>
      <w:pPr>
        <w:pStyle w:val="ListParagraph"/>
        <w:shd w:val="clear" w:color="auto" w:fill="FFFFFF"/>
        <w:tabs>
          <w:tab w:val="clear" w:pos="708"/>
          <w:tab w:val="left" w:pos="1134" w:leader="none"/>
        </w:tabs>
        <w:ind w:left="0" w:firstLine="709"/>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Style11"/>
        </w:rPr>
        <w:footnoteReference w:id="13"/>
      </w:r>
    </w:p>
    <w:p>
      <w:pPr>
        <w:pStyle w:val="ListParagraph"/>
        <w:numPr>
          <w:ilvl w:val="1"/>
          <w:numId w:val="4"/>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1134" w:leader="none"/>
        </w:tabs>
        <w:ind w:left="0" w:firstLine="709"/>
        <w:jc w:val="both"/>
        <w:rPr/>
      </w:pPr>
      <w:bookmarkStart w:id="48"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8"/>
      <w:r>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49"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9"/>
    </w:p>
    <w:p>
      <w:pPr>
        <w:pStyle w:val="ListParagraph"/>
        <w:numPr>
          <w:ilvl w:val="2"/>
          <w:numId w:val="4"/>
        </w:numPr>
        <w:shd w:val="clear" w:color="auto" w:fill="FFFFFF"/>
        <w:tabs>
          <w:tab w:val="clear" w:pos="708"/>
          <w:tab w:val="left" w:pos="1701" w:leader="none"/>
        </w:tabs>
        <w:ind w:left="0" w:firstLine="709"/>
        <w:jc w:val="both"/>
        <w:rPr>
          <w:bCs/>
        </w:rPr>
      </w:pPr>
      <w:bookmarkStart w:id="50" w:name="_Ref361338032"/>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51"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1"/>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4"/>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w:t>
      </w:r>
      <w:r>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Pr/>
        <w:t xml:space="preserve">. </w:t>
      </w:r>
    </w:p>
    <w:p>
      <w:pPr>
        <w:pStyle w:val="Normal"/>
        <w:widowControl w:val="false"/>
        <w:tabs>
          <w:tab w:val="clear" w:pos="708"/>
          <w:tab w:val="left" w:pos="993" w:leader="none"/>
        </w:tabs>
        <w:spacing w:lineRule="auto" w:line="240"/>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Pr>
          <w:bCs/>
          <w:iCs/>
        </w:rPr>
        <w:t>.</w:t>
      </w:r>
    </w:p>
    <w:p>
      <w:pPr>
        <w:pStyle w:val="Normal"/>
        <w:shd w:val="clear" w:color="auto" w:fill="FFFFFF"/>
        <w:tabs>
          <w:tab w:val="clear" w:pos="708"/>
          <w:tab w:val="left" w:pos="1134" w:leader="none"/>
        </w:tabs>
        <w:spacing w:lineRule="auto" w:line="240"/>
        <w:ind w:firstLine="709"/>
        <w:rPr>
          <w:bCs/>
          <w:iCs/>
        </w:rPr>
      </w:pPr>
      <w:r>
        <w:rPr>
          <w:bCs/>
          <w:i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Перечень объектов учета капитальных вложений;</w:t>
      </w:r>
    </w:p>
    <w:p>
      <w:pPr>
        <w:pStyle w:val="ListParagraph"/>
        <w:shd w:val="clear" w:color="auto" w:fill="FFFFFF"/>
        <w:ind w:left="0" w:hanging="0"/>
        <w:jc w:val="both"/>
        <w:rPr>
          <w:bCs/>
        </w:rPr>
      </w:pPr>
      <w:r>
        <w:rPr>
          <w:bCs/>
        </w:rPr>
        <w:t>Приложение № 3 – Календарный график выполнения Работ;</w:t>
      </w:r>
    </w:p>
    <w:p>
      <w:pPr>
        <w:pStyle w:val="ListParagraph"/>
        <w:shd w:val="clear" w:color="auto" w:fill="FFFFFF"/>
        <w:ind w:left="0" w:hanging="0"/>
        <w:jc w:val="both"/>
        <w:rPr>
          <w:bCs/>
        </w:rPr>
      </w:pPr>
      <w:r>
        <w:rPr>
          <w:bCs/>
        </w:rPr>
        <w:t>Приложение № 4 – Сводная таблица стоимости работ;</w:t>
      </w:r>
    </w:p>
    <w:p>
      <w:pPr>
        <w:pStyle w:val="ListParagraph"/>
        <w:shd w:val="clear" w:color="auto" w:fill="FFFFFF"/>
        <w:ind w:left="0" w:hanging="0"/>
        <w:jc w:val="both"/>
        <w:rPr>
          <w:bCs/>
        </w:rPr>
      </w:pPr>
      <w:r>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Оборудования Заказчика;</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8 – Форма Акта освидетельствования выполненных работ;</w:t>
      </w:r>
    </w:p>
    <w:p>
      <w:pPr>
        <w:pStyle w:val="ListParagraph"/>
        <w:shd w:val="clear" w:color="auto" w:fill="FFFFFF"/>
        <w:ind w:left="0" w:hanging="0"/>
        <w:jc w:val="both"/>
        <w:rPr>
          <w:bCs/>
        </w:rPr>
      </w:pPr>
      <w:r>
        <w:rPr>
          <w:bCs/>
        </w:rPr>
        <w:t xml:space="preserve">Приложение № 9 – Требования к страховой компании и существенные условия договора страхования; </w:t>
      </w:r>
    </w:p>
    <w:p>
      <w:pPr>
        <w:pStyle w:val="ListParagraph"/>
        <w:shd w:val="clear" w:color="auto" w:fill="FFFFFF"/>
        <w:ind w:left="0" w:hanging="0"/>
        <w:jc w:val="both"/>
        <w:rPr>
          <w:bCs/>
        </w:rPr>
      </w:pPr>
      <w:r>
        <w:rPr>
          <w:bCs/>
        </w:rPr>
        <w:t>Приложение № 10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hanging="0"/>
        <w:jc w:val="both"/>
        <w:rPr>
          <w:bCs/>
        </w:rPr>
      </w:pPr>
      <w:r>
        <w:rPr>
          <w:bCs/>
        </w:rPr>
        <w:t>Приложение № 11 – Перечень Оборудования Заказчика;</w:t>
      </w:r>
    </w:p>
    <w:p>
      <w:pPr>
        <w:pStyle w:val="ListParagraph"/>
        <w:shd w:val="clear" w:color="auto" w:fill="FFFFFF"/>
        <w:ind w:left="0" w:hanging="0"/>
        <w:jc w:val="both"/>
        <w:rPr>
          <w:bCs/>
        </w:rPr>
      </w:pPr>
      <w:r>
        <w:rPr>
          <w:bCs/>
        </w:rPr>
        <w:t>Приложение № 12 – Порядок передачи и учета Оборудования Заказчика;</w:t>
      </w:r>
    </w:p>
    <w:p>
      <w:pPr>
        <w:pStyle w:val="ListParagraph"/>
        <w:shd w:val="clear" w:color="auto" w:fill="FFFFFF"/>
        <w:ind w:left="0" w:hanging="0"/>
        <w:jc w:val="both"/>
        <w:rPr>
          <w:bCs/>
        </w:rPr>
      </w:pPr>
      <w:r>
        <w:rPr>
          <w:bCs/>
        </w:rPr>
        <w:t>Приложение № 13 – Критерии отбора Банков-гарантов.</w:t>
      </w:r>
    </w:p>
    <w:p>
      <w:pPr>
        <w:pStyle w:val="ListParagraph"/>
        <w:shd w:val="clear" w:color="auto" w:fill="FFFFFF"/>
        <w:ind w:left="0" w:hanging="0"/>
        <w:jc w:val="both"/>
        <w:rPr/>
      </w:pPr>
      <w:r>
        <w:rPr>
          <w:bCs/>
        </w:rPr>
        <w:t xml:space="preserve">Приложение № 14 -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pPr>
      <w:r>
        <w:rPr/>
        <w:t>Приложение № 15–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784"/>
        <w:gridCol w:w="144"/>
        <w:gridCol w:w="4642"/>
        <w:gridCol w:w="320"/>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b/>
                <w:b/>
                <w:sz w:val="24"/>
                <w:szCs w:val="24"/>
              </w:rPr>
            </w:pPr>
            <w:r>
              <w:rPr>
                <w:b/>
                <w:sz w:val="24"/>
                <w:szCs w:val="24"/>
              </w:rPr>
              <w:t>Акционерное общество</w:t>
            </w:r>
          </w:p>
          <w:p>
            <w:pPr>
              <w:pStyle w:val="Normal"/>
              <w:widowControl w:val="false"/>
              <w:spacing w:lineRule="auto" w:line="240"/>
              <w:ind w:hanging="0"/>
              <w:jc w:val="left"/>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8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320" w:type="dxa"/>
            <w:tcBorders/>
          </w:tcPr>
          <w:p>
            <w:pPr>
              <w:pStyle w:val="Normal"/>
              <w:widowControl w:val="false"/>
              <w:rPr/>
            </w:pPr>
            <w:r>
              <w:rPr/>
            </w:r>
          </w:p>
        </w:tc>
      </w:tr>
    </w:tbl>
    <w:p>
      <w:pPr>
        <w:sectPr>
          <w:footnotePr>
            <w:numFmt w:val="decimal"/>
          </w:footnotePr>
          <w:type w:val="nextPage"/>
          <w:pgSz w:w="11906" w:h="16838"/>
          <w:pgMar w:left="1418" w:right="851" w:gutter="0" w:header="0" w:top="1134" w:footer="0" w:bottom="1134"/>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ind w:hanging="0"/>
        <w:jc w:val="right"/>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 xml:space="preserve">Перечень объектов учета капитальных вложений </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pPr w:bottomFromText="0" w:horzAnchor="margin" w:leftFromText="180" w:rightFromText="180" w:tblpX="108" w:tblpY="170" w:topFromText="0" w:vertAnchor="text"/>
        <w:tblW w:w="5000" w:type="pct"/>
        <w:jc w:val="left"/>
        <w:tblInd w:w="-5" w:type="dxa"/>
        <w:tblLayout w:type="fixed"/>
        <w:tblCellMar>
          <w:top w:w="0" w:type="dxa"/>
          <w:left w:w="108" w:type="dxa"/>
          <w:bottom w:w="0" w:type="dxa"/>
          <w:right w:w="108" w:type="dxa"/>
        </w:tblCellMar>
        <w:tblLook w:firstRow="1" w:noVBand="1" w:lastRow="0" w:firstColumn="1" w:lastColumn="0" w:noHBand="0" w:val="04a0"/>
      </w:tblPr>
      <w:tblGrid>
        <w:gridCol w:w="685"/>
        <w:gridCol w:w="4436"/>
        <w:gridCol w:w="4516"/>
      </w:tblGrid>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 </w:t>
            </w:r>
            <w:r>
              <w:rPr>
                <w:sz w:val="24"/>
                <w:szCs w:val="24"/>
              </w:rPr>
              <w:t>п/п</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Имущество Заказчика </w:t>
            </w:r>
          </w:p>
          <w:p>
            <w:pPr>
              <w:pStyle w:val="Normal"/>
              <w:widowControl w:val="false"/>
              <w:spacing w:lineRule="auto" w:line="240"/>
              <w:ind w:hanging="0"/>
              <w:jc w:val="center"/>
              <w:rPr>
                <w:sz w:val="24"/>
                <w:szCs w:val="24"/>
              </w:rPr>
            </w:pPr>
            <w:r>
              <w:rPr>
                <w:sz w:val="24"/>
                <w:szCs w:val="24"/>
              </w:rPr>
              <w:t>(основные средства) в составе Объекта</w:t>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1610"/>
        <w:gridCol w:w="1421"/>
        <w:gridCol w:w="1549"/>
        <w:gridCol w:w="841"/>
        <w:gridCol w:w="1175"/>
        <w:gridCol w:w="774"/>
        <w:gridCol w:w="850"/>
        <w:gridCol w:w="985"/>
      </w:tblGrid>
      <w:tr>
        <w:trPr/>
        <w:tc>
          <w:tcPr>
            <w:tcW w:w="7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Style11"/>
                <w:sz w:val="20"/>
                <w:szCs w:val="20"/>
              </w:rPr>
              <w:footnoteReference w:id="14"/>
            </w:r>
          </w:p>
        </w:tc>
        <w:tc>
          <w:tcPr>
            <w:tcW w:w="20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bCs/>
                <w:sz w:val="24"/>
                <w:szCs w:val="24"/>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5"/>
          <w:footerReference w:type="default" r:id="rId6"/>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СВОДНАЯ ТАБЛИЦА СТОИМОСТИ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Style41"/>
        <w:shd w:val="clear" w:color="auto" w:fill="auto"/>
        <w:ind w:hanging="0"/>
        <w:jc w:val="left"/>
        <w:rPr>
          <w:i/>
          <w:i/>
        </w:rPr>
      </w:pPr>
      <w:r>
        <w:rPr>
          <w:i/>
        </w:rPr>
      </w:r>
    </w:p>
    <w:p>
      <w:pPr>
        <w:pStyle w:val="Style41"/>
        <w:shd w:val="clear" w:color="auto" w:fill="auto"/>
        <w:ind w:hanging="0"/>
        <w:rPr>
          <w:bCs/>
          <w:sz w:val="24"/>
          <w:szCs w:val="24"/>
        </w:rPr>
      </w:pPr>
      <w:r>
        <w:rPr>
          <w:iCs/>
          <w:sz w:val="24"/>
          <w:szCs w:val="24"/>
        </w:rPr>
        <w:t>ФОРМА</w:t>
      </w:r>
    </w:p>
    <w:p>
      <w:pPr>
        <w:pStyle w:val="Style41"/>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w:t>
      </w:r>
      <w:r>
        <w:rPr>
          <w:bCs/>
          <w:sz w:val="24"/>
          <w:highlight w:val="lightGray"/>
          <w:lang w:val="ru-RU"/>
        </w:rPr>
        <w:t xml:space="preserve">Материально-технических </w:t>
      </w:r>
      <w:r>
        <w:rPr>
          <w:bCs/>
          <w:sz w:val="24"/>
          <w:szCs w:val="24"/>
          <w:highlight w:val="lightGray"/>
          <w:lang w:val="ru-RU"/>
        </w:rPr>
        <w:t>ресурсов</w:t>
      </w:r>
      <w:r>
        <w:rPr>
          <w:bCs/>
          <w:sz w:val="24"/>
          <w:szCs w:val="24"/>
        </w:rPr>
        <w:t xml:space="preserve"> </w:t>
      </w:r>
      <w:r>
        <w:rPr>
          <w:bCs/>
          <w:sz w:val="24"/>
          <w:szCs w:val="24"/>
          <w:highlight w:val="lightGray"/>
        </w:rPr>
        <w:t>и оборудования</w:t>
      </w:r>
      <w:r>
        <w:rPr>
          <w:bCs/>
          <w:sz w:val="24"/>
          <w:highlight w:val="lightGray"/>
          <w:lang w:val="ru-RU"/>
        </w:rPr>
        <w:t>,</w:t>
      </w:r>
      <w:r>
        <w:rPr>
          <w:bCs/>
          <w:highlight w:val="lightGray"/>
        </w:rPr>
        <w:t xml:space="preserve"> </w:t>
      </w:r>
      <w:r>
        <w:rPr>
          <w:bCs/>
          <w:sz w:val="24"/>
          <w:highlight w:val="lightGray"/>
          <w:lang w:val="ru-RU"/>
        </w:rPr>
        <w:t>Оборудования Заказчика</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b w:val="false"/>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highlight w:val="lightGray"/>
              </w:rPr>
              <w:t>и</w:t>
            </w:r>
            <w:r>
              <w:rPr>
                <w:b w:val="false"/>
                <w:highlight w:val="lightGray"/>
                <w:lang w:val="ru-RU"/>
              </w:rPr>
              <w:t xml:space="preserve"> </w:t>
            </w:r>
            <w:r>
              <w:rPr>
                <w:b w:val="false"/>
                <w:highlight w:val="lightGray"/>
              </w:rPr>
              <w:t>/</w:t>
            </w:r>
            <w:r>
              <w:rPr>
                <w:b w:val="false"/>
                <w:highlight w:val="lightGray"/>
                <w:lang w:val="ru-RU"/>
              </w:rPr>
              <w:t xml:space="preserve"> </w:t>
            </w:r>
            <w:r>
              <w:rPr>
                <w:b w:val="false"/>
                <w:highlight w:val="lightGray"/>
              </w:rPr>
              <w:t>или</w:t>
            </w:r>
            <w:r>
              <w:rPr>
                <w:b w:val="false"/>
                <w:bCs/>
                <w:highlight w:val="lightGray"/>
              </w:rPr>
              <w:t xml:space="preserve"> места (помещения) для складирования </w:t>
            </w:r>
            <w:r>
              <w:rPr>
                <w:b w:val="false"/>
                <w:bCs/>
                <w:highlight w:val="lightGray"/>
                <w:lang w:val="ru-RU"/>
              </w:rPr>
              <w:t>Материально-технических ресурсов и оборудования, Оборудования Заказчика</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_________202_г.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  Оборудования Заказчика</w:t>
            </w:r>
            <w:r>
              <w:rPr>
                <w:sz w:val="22"/>
                <w:szCs w:val="22"/>
                <w:highlight w:val="lightGray"/>
              </w:rPr>
              <w:t xml:space="preserve">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 Оборудования Заказчика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Материально-технических ресурсов и оборудования, Оборудования Заказчика: _____________________________________</w:t>
            </w:r>
          </w:p>
          <w:p>
            <w:pPr>
              <w:pStyle w:val="Normal"/>
              <w:widowControl w:val="false"/>
              <w:spacing w:lineRule="auto" w:line="240"/>
              <w:ind w:hanging="0"/>
              <w:rPr>
                <w:sz w:val="22"/>
                <w:szCs w:val="22"/>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1"/>
        <w:shd w:val="clear" w:color="auto" w:fill="auto"/>
        <w:ind w:hanging="0"/>
        <w:rPr>
          <w:b w:val="false"/>
          <w:b w:val="false"/>
          <w:sz w:val="24"/>
        </w:rPr>
      </w:pPr>
      <w:r>
        <w:rPr>
          <w:sz w:val="24"/>
        </w:rPr>
        <w:t>ФОРМА</w:t>
      </w:r>
    </w:p>
    <w:p>
      <w:pPr>
        <w:pStyle w:val="Style41"/>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sz w:val="22"/>
                <w:szCs w:val="22"/>
              </w:rPr>
            </w:pPr>
            <w:r>
              <w:rPr/>
            </w:r>
          </w:p>
          <w:p>
            <w:pPr>
              <w:pStyle w:val="Normal"/>
              <w:widowControl w:val="false"/>
              <w:ind w:hanging="0"/>
              <w:rPr>
                <w:sz w:val="22"/>
                <w:szCs w:val="22"/>
              </w:rPr>
            </w:pPr>
            <w:r>
              <w:rPr>
                <w:sz w:val="22"/>
                <w:szCs w:val="22"/>
              </w:rPr>
              <w:t>г.___________                                                                                               «_____» _________202_г.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ind w:hanging="0"/>
              <w:jc w:val="left"/>
              <w:rPr>
                <w:i/>
                <w:i/>
                <w:iCs/>
              </w:rPr>
            </w:pPr>
            <w:r>
              <w:rPr>
                <w:i/>
                <w:iCs/>
              </w:rPr>
            </w:r>
          </w:p>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p>
      <w:pPr>
        <w:pStyle w:val="Style41"/>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80"/>
        <w:gridCol w:w="2165"/>
        <w:gridCol w:w="1223"/>
        <w:gridCol w:w="1090"/>
        <w:gridCol w:w="939"/>
        <w:gridCol w:w="1276"/>
        <w:gridCol w:w="2263"/>
      </w:tblGrid>
      <w:tr>
        <w:trPr>
          <w:trHeight w:val="214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tcPr>
          <w:p>
            <w:pPr>
              <w:pStyle w:val="Normal"/>
              <w:pageBreakBefore/>
              <w:widowControl w:val="false"/>
              <w:snapToGrid w:val="false"/>
              <w:spacing w:lineRule="auto" w:line="240"/>
              <w:rPr>
                <w:b/>
                <w:b/>
                <w:bCs/>
                <w:szCs w:val="24"/>
              </w:rPr>
            </w:pPr>
            <w:r>
              <w:rPr>
                <w:b/>
                <w:bCs/>
                <w:szCs w:val="24"/>
              </w:rPr>
            </w:r>
          </w:p>
        </w:tc>
        <w:tc>
          <w:tcPr>
            <w:tcW w:w="4785" w:type="dxa"/>
            <w:tcBorders/>
          </w:tcPr>
          <w:p>
            <w:pPr>
              <w:pStyle w:val="Normal"/>
              <w:widowControl w:val="false"/>
              <w:shd w:val="clear" w:color="auto" w:fill="FFFFFF"/>
              <w:spacing w:lineRule="auto" w:line="240"/>
              <w:rPr>
                <w:bCs/>
                <w:sz w:val="22"/>
                <w:szCs w:val="22"/>
                <w:highlight w:val="lightGray"/>
              </w:rPr>
            </w:pPr>
            <w:r>
              <w:rPr>
                <w:bCs/>
                <w:sz w:val="22"/>
                <w:szCs w:val="22"/>
                <w:highlight w:val="lightGray"/>
              </w:rPr>
              <w:t>Приложение № 8</w:t>
            </w:r>
          </w:p>
          <w:p>
            <w:pPr>
              <w:pStyle w:val="Normal"/>
              <w:widowControl w:val="false"/>
              <w:shd w:val="clear" w:color="auto" w:fill="FFFFFF"/>
              <w:spacing w:lineRule="auto" w:line="240"/>
              <w:rPr>
                <w:bCs/>
                <w:sz w:val="22"/>
                <w:szCs w:val="22"/>
                <w:highlight w:val="lightGray"/>
              </w:rPr>
            </w:pPr>
            <w:r>
              <w:rPr>
                <w:bCs/>
                <w:sz w:val="22"/>
                <w:szCs w:val="22"/>
                <w:highlight w:val="lightGray"/>
              </w:rPr>
              <w:t xml:space="preserve">к Договору подряда </w:t>
            </w:r>
          </w:p>
          <w:p>
            <w:pPr>
              <w:pStyle w:val="Normal"/>
              <w:widowControl w:val="false"/>
              <w:shd w:val="clear" w:color="auto" w:fill="FFFFFF"/>
              <w:spacing w:lineRule="auto" w:line="240"/>
              <w:rPr>
                <w:bCs/>
                <w:sz w:val="22"/>
                <w:szCs w:val="22"/>
                <w:highlight w:val="lightGray"/>
              </w:rPr>
            </w:pPr>
            <w:r>
              <w:rPr>
                <w:bCs/>
                <w:sz w:val="22"/>
                <w:szCs w:val="22"/>
                <w:highlight w:val="lightGray"/>
              </w:rPr>
              <w:t>от «___» ________20__ г. № ___</w:t>
            </w:r>
          </w:p>
          <w:p>
            <w:pPr>
              <w:pStyle w:val="Normal"/>
              <w:widowControl w:val="false"/>
              <w:snapToGrid w:val="false"/>
              <w:spacing w:lineRule="auto" w:line="240"/>
              <w:rPr>
                <w:b/>
                <w:b/>
                <w:bCs/>
                <w:szCs w:val="24"/>
                <w:highlight w:val="lightGray"/>
              </w:rPr>
            </w:pPr>
            <w:r>
              <w:rPr>
                <w:b/>
                <w:bCs/>
                <w:szCs w:val="24"/>
                <w:highlight w:val="lightGray"/>
              </w:rPr>
            </w:r>
          </w:p>
        </w:tc>
      </w:tr>
    </w:tbl>
    <w:p>
      <w:pPr>
        <w:pStyle w:val="Normal"/>
        <w:shd w:val="clear" w:color="auto" w:fill="FFFFFF"/>
        <w:spacing w:lineRule="auto" w:line="240"/>
        <w:jc w:val="center"/>
        <w:rPr>
          <w:b/>
          <w:b/>
          <w:bCs/>
          <w:szCs w:val="24"/>
        </w:rPr>
      </w:pPr>
      <w:r>
        <w:rPr>
          <w:b/>
          <w:bCs/>
          <w:szCs w:val="24"/>
        </w:rPr>
        <w:t>Акт сдачи-приемки проектных работ</w:t>
      </w:r>
    </w:p>
    <w:p>
      <w:pPr>
        <w:pStyle w:val="Normal"/>
        <w:shd w:val="clear" w:color="auto" w:fill="FFFFFF"/>
        <w:spacing w:lineRule="auto" w:line="240"/>
        <w:jc w:val="center"/>
        <w:rPr>
          <w:b/>
          <w:b/>
          <w:bCs/>
          <w:szCs w:val="24"/>
        </w:rPr>
      </w:pPr>
      <w:r>
        <w:rPr>
          <w:b/>
          <w:bCs/>
          <w:szCs w:val="24"/>
        </w:rPr>
        <w:t>(форма)</w:t>
      </w:r>
    </w:p>
    <w:p>
      <w:pPr>
        <w:pStyle w:val="Normal"/>
        <w:shd w:val="clear" w:color="auto" w:fill="FFFFFF"/>
        <w:spacing w:lineRule="auto" w:line="240"/>
        <w:jc w:val="center"/>
        <w:rPr>
          <w:b/>
          <w:b/>
          <w:bCs/>
          <w:szCs w:val="24"/>
        </w:rPr>
      </w:pPr>
      <w:r>
        <w:rPr>
          <w:b/>
          <w:bCs/>
          <w:szCs w:val="24"/>
        </w:rPr>
      </w:r>
    </w:p>
    <w:tbl>
      <w:tblPr>
        <w:tblW w:w="10070" w:type="dxa"/>
        <w:jc w:val="left"/>
        <w:tblInd w:w="-98" w:type="dxa"/>
        <w:tblLayout w:type="fixed"/>
        <w:tblCellMar>
          <w:top w:w="0" w:type="dxa"/>
          <w:left w:w="10" w:type="dxa"/>
          <w:bottom w:w="0" w:type="dxa"/>
          <w:right w:w="10" w:type="dxa"/>
        </w:tblCellMar>
        <w:tblLook w:firstRow="1" w:noVBand="1" w:lastRow="0" w:firstColumn="1" w:lastColumn="0" w:noHBand="0" w:val="04a0"/>
      </w:tblPr>
      <w:tblGrid>
        <w:gridCol w:w="26"/>
        <w:gridCol w:w="10043"/>
      </w:tblGrid>
      <w:tr>
        <w:trPr/>
        <w:tc>
          <w:tcPr>
            <w:tcW w:w="2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
                <w:bCs/>
                <w:szCs w:val="24"/>
              </w:rPr>
            </w:pPr>
            <w:r>
              <w:rPr>
                <w:b/>
                <w:bCs/>
                <w:szCs w:val="24"/>
              </w:rPr>
            </w: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
                <w:bCs/>
                <w:szCs w:val="24"/>
              </w:rPr>
            </w:pPr>
            <w:r>
              <w:rPr>
                <w:b/>
                <w:bCs/>
                <w:szCs w:val="24"/>
              </w:rPr>
            </w:r>
          </w:p>
          <w:p>
            <w:pPr>
              <w:pStyle w:val="Normal"/>
              <w:widowControl w:val="false"/>
              <w:spacing w:lineRule="auto" w:line="240"/>
              <w:jc w:val="center"/>
              <w:rPr>
                <w:b/>
                <w:b/>
                <w:bCs/>
                <w:sz w:val="20"/>
                <w:szCs w:val="20"/>
              </w:rPr>
            </w:pPr>
            <w:r>
              <w:rPr>
                <w:b/>
                <w:bCs/>
                <w:sz w:val="20"/>
                <w:szCs w:val="20"/>
              </w:rPr>
              <w:t>АКТ СДАЧИ-ПРЕМКИ ПРОЕКТНЫХ РАБОТ №  _________</w:t>
            </w:r>
          </w:p>
          <w:tbl>
            <w:tblPr>
              <w:tblW w:w="9735"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9"/>
              <w:gridCol w:w="851"/>
              <w:gridCol w:w="2947"/>
              <w:gridCol w:w="1246"/>
              <w:gridCol w:w="230"/>
              <w:gridCol w:w="583"/>
              <w:gridCol w:w="1399"/>
              <w:gridCol w:w="1335"/>
              <w:gridCol w:w="1133"/>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1356"/>
                    <w:gridCol w:w="8172"/>
                    <w:gridCol w:w="62"/>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72"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62" w:type="dxa"/>
                        <w:tcBorders/>
                        <w:tcMar>
                          <w:top w:w="0" w:type="dxa"/>
                          <w:left w:w="0" w:type="dxa"/>
                          <w:right w:w="0" w:type="dxa"/>
                        </w:tcMar>
                      </w:tcPr>
                      <w:p>
                        <w:pPr>
                          <w:pStyle w:val="Normal"/>
                          <w:widowControl w:val="false"/>
                          <w:rPr>
                            <w:sz w:val="22"/>
                            <w:szCs w:val="22"/>
                          </w:rPr>
                        </w:pPr>
                        <w:r>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83"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50"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 xml:space="preserve">№ </w:t>
                  </w:r>
                  <w:r>
                    <w:rPr>
                      <w:b/>
                      <w:bCs/>
                      <w:sz w:val="20"/>
                      <w:szCs w:val="20"/>
                    </w:rPr>
                    <w:t>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Выполнено работ</w:t>
                  </w:r>
                </w:p>
              </w:tc>
            </w:tr>
            <w:tr>
              <w:trPr>
                <w:trHeight w:val="693" w:hRule="atLeast"/>
                <w:cantSplit w:val="true"/>
              </w:trPr>
              <w:tc>
                <w:tcPr>
                  <w:tcW w:w="9" w:type="dxa"/>
                  <w:tcBorders/>
                  <w:tcMar>
                    <w:top w:w="0" w:type="dxa"/>
                    <w:left w:w="0" w:type="dxa"/>
                    <w:right w:w="0" w:type="dxa"/>
                  </w:tcMar>
                </w:tcPr>
                <w:p>
                  <w:pPr>
                    <w:pStyle w:val="Normal"/>
                    <w:widowControl w:val="false"/>
                    <w:spacing w:lineRule="auto" w:line="240"/>
                    <w:ind w:hanging="0"/>
                    <w:rPr>
                      <w:b/>
                      <w:b/>
                      <w:bCs/>
                      <w:sz w:val="20"/>
                      <w:szCs w:val="20"/>
                    </w:rPr>
                  </w:pPr>
                  <w:r>
                    <w:rPr>
                      <w:b/>
                      <w:bCs/>
                      <w:sz w:val="20"/>
                      <w:szCs w:val="20"/>
                    </w:rPr>
                  </w:r>
                </w:p>
              </w:tc>
              <w:tc>
                <w:tcPr>
                  <w:tcW w:w="851"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2947"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1246"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ед. </w:t>
                  </w:r>
                </w:p>
                <w:p>
                  <w:pPr>
                    <w:pStyle w:val="Normal"/>
                    <w:widowControl w:val="false"/>
                    <w:snapToGrid w:val="false"/>
                    <w:spacing w:lineRule="auto" w:line="240"/>
                    <w:ind w:hanging="0"/>
                    <w:jc w:val="center"/>
                    <w:rPr>
                      <w:b/>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цена за </w:t>
                  </w:r>
                </w:p>
                <w:p>
                  <w:pPr>
                    <w:pStyle w:val="Normal"/>
                    <w:widowControl w:val="false"/>
                    <w:snapToGrid w:val="false"/>
                    <w:spacing w:lineRule="auto" w:line="240"/>
                    <w:ind w:hanging="0"/>
                    <w:jc w:val="center"/>
                    <w:rPr>
                      <w:b/>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
                      <w:bCs/>
                      <w:sz w:val="20"/>
                      <w:szCs w:val="20"/>
                    </w:rPr>
                  </w:pPr>
                  <w:r>
                    <w:rPr>
                      <w:b/>
                      <w:bCs/>
                      <w:sz w:val="20"/>
                      <w:szCs w:val="20"/>
                    </w:rPr>
                    <w:t>руб.</w:t>
                  </w:r>
                </w:p>
              </w:tc>
              <w:tc>
                <w:tcPr>
                  <w:tcW w:w="1133"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в т.ч. НДС, руб.</w:t>
                  </w:r>
                </w:p>
              </w:tc>
            </w:tr>
            <w:tr>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2</w:t>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6</w:t>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7</w:t>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rPr>
                      <w:sz w:val="20"/>
                      <w:szCs w:val="20"/>
                    </w:rPr>
                  </w:pPr>
                  <w:r>
                    <w:rPr/>
                  </w:r>
                </w:p>
              </w:tc>
              <w:tc>
                <w:tcPr>
                  <w:tcW w:w="3798"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58"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53"/>
              <w:gridCol w:w="4047"/>
              <w:gridCol w:w="719"/>
              <w:gridCol w:w="337"/>
              <w:gridCol w:w="4164"/>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От Заказчика:</w:t>
                  </w:r>
                </w:p>
              </w:tc>
              <w:tc>
                <w:tcPr>
                  <w:tcW w:w="719" w:type="dxa"/>
                  <w:vMerge w:val="restart"/>
                  <w:tcBorders/>
                </w:tcPr>
                <w:p>
                  <w:pPr>
                    <w:pStyle w:val="Normal"/>
                    <w:widowControl w:val="false"/>
                    <w:snapToGrid w:val="false"/>
                    <w:spacing w:lineRule="auto" w:line="240"/>
                    <w:rPr>
                      <w:sz w:val="20"/>
                      <w:szCs w:val="20"/>
                    </w:rPr>
                  </w:pPr>
                  <w:r>
                    <w:rPr>
                      <w:sz w:val="20"/>
                      <w:szCs w:val="20"/>
                    </w:rPr>
                  </w:r>
                </w:p>
              </w:tc>
              <w:tc>
                <w:tcPr>
                  <w:tcW w:w="4501" w:type="dxa"/>
                  <w:gridSpan w:val="2"/>
                  <w:tcBorders/>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tcPr>
                <w:p>
                  <w:pPr>
                    <w:pStyle w:val="Normal"/>
                    <w:widowControl w:val="false"/>
                    <w:snapToGrid w:val="false"/>
                    <w:spacing w:lineRule="auto" w:line="240"/>
                    <w:rPr>
                      <w:b/>
                      <w:b/>
                      <w:bCs/>
                      <w:sz w:val="20"/>
                      <w:szCs w:val="20"/>
                    </w:rPr>
                  </w:pPr>
                  <w:r>
                    <w:rPr>
                      <w:b/>
                      <w:bCs/>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1" w:type="dxa"/>
                  <w:gridSpan w:val="2"/>
                  <w:tcBorders/>
                </w:tcPr>
                <w:p>
                  <w:pPr>
                    <w:pStyle w:val="Normal"/>
                    <w:widowControl w:val="false"/>
                    <w:snapToGrid w:val="false"/>
                    <w:spacing w:lineRule="auto" w:line="240"/>
                    <w:rPr>
                      <w:b/>
                      <w:b/>
                      <w:bCs/>
                      <w:sz w:val="20"/>
                      <w:szCs w:val="20"/>
                    </w:rPr>
                  </w:pPr>
                  <w:r>
                    <w:rPr>
                      <w:b/>
                      <w:bCs/>
                      <w:sz w:val="20"/>
                      <w:szCs w:val="20"/>
                    </w:rPr>
                  </w:r>
                </w:p>
              </w:tc>
            </w:tr>
            <w:tr>
              <w:trPr>
                <w:cantSplit w:val="true"/>
              </w:trPr>
              <w:tc>
                <w:tcPr>
                  <w:tcW w:w="453" w:type="dxa"/>
                  <w:vMerge w:val="restart"/>
                  <w:tcBorders/>
                </w:tcPr>
                <w:p>
                  <w:pPr>
                    <w:pStyle w:val="Normal"/>
                    <w:widowControl w:val="false"/>
                    <w:snapToGrid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restart"/>
                  <w:tcBorders/>
                </w:tcPr>
                <w:p>
                  <w:pPr>
                    <w:pStyle w:val="Normal"/>
                    <w:widowControl w:val="false"/>
                    <w:snapToGrid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highlight w:val="yellow"/>
        </w:rPr>
      </w:pPr>
      <w:r>
        <w:rPr>
          <w:highlight w:val="yellow"/>
        </w:rPr>
      </w:r>
    </w:p>
    <w:p>
      <w:pPr>
        <w:pStyle w:val="Normal"/>
        <w:spacing w:lineRule="auto" w:line="240"/>
        <w:ind w:left="5103" w:firstLine="567"/>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5" w:type="dxa"/>
            <w:tcBorders/>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sectPr>
          <w:headerReference w:type="default" r:id="rId7"/>
          <w:footerReference w:type="default" r:id="rId8"/>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21"/>
        <w:gridCol w:w="839"/>
        <w:gridCol w:w="223"/>
        <w:gridCol w:w="221"/>
        <w:gridCol w:w="786"/>
        <w:gridCol w:w="524"/>
        <w:gridCol w:w="222"/>
        <w:gridCol w:w="960"/>
        <w:gridCol w:w="1080"/>
        <w:gridCol w:w="222"/>
        <w:gridCol w:w="940"/>
        <w:gridCol w:w="879"/>
        <w:gridCol w:w="223"/>
        <w:gridCol w:w="240"/>
        <w:gridCol w:w="599"/>
        <w:gridCol w:w="761"/>
        <w:gridCol w:w="339"/>
        <w:gridCol w:w="240"/>
        <w:gridCol w:w="1321"/>
        <w:gridCol w:w="272"/>
        <w:gridCol w:w="514"/>
        <w:gridCol w:w="281"/>
        <w:gridCol w:w="493"/>
        <w:gridCol w:w="596"/>
        <w:gridCol w:w="221"/>
        <w:gridCol w:w="222"/>
        <w:gridCol w:w="223"/>
        <w:gridCol w:w="221"/>
        <w:gridCol w:w="1292"/>
        <w:gridCol w:w="221"/>
        <w:gridCol w:w="568"/>
        <w:gridCol w:w="441"/>
        <w:gridCol w:w="232"/>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Приложение № 8</w:t>
            </w:r>
          </w:p>
        </w:tc>
        <w:tc>
          <w:tcPr>
            <w:tcW w:w="22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09"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713" w:type="dxa"/>
            <w:gridSpan w:val="21"/>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t>Акт освидетельствования выполненных работ (форма)</w:t>
            </w:r>
          </w:p>
        </w:tc>
        <w:tc>
          <w:tcPr>
            <w:tcW w:w="222" w:type="dxa"/>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62"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8"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5"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26"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2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26"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15"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62"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41"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2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43"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92"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62"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дата </w:t>
            </w:r>
          </w:p>
        </w:tc>
        <w:tc>
          <w:tcPr>
            <w:tcW w:w="1462"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58"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62"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86"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489"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686"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32"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57"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t>АКТ</w:t>
            </w:r>
          </w:p>
        </w:tc>
        <w:tc>
          <w:tcPr>
            <w:tcW w:w="223"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r>
          </w:p>
        </w:tc>
        <w:tc>
          <w:tcPr>
            <w:tcW w:w="1600"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686"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32"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957"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44" w:type="dxa"/>
            <w:gridSpan w:val="11"/>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t>ОСВИДЕТЕЛЬСТВОВАНИЯ ВЫПОЛНЕННЫХ РАБОТ</w:t>
            </w:r>
          </w:p>
        </w:tc>
        <w:tc>
          <w:tcPr>
            <w:tcW w:w="272" w:type="dxa"/>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96"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6"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6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8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290"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0"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7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25"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90"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60"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72"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2"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2"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8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Заказчика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Подрядчика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2"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0"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ind w:hanging="0"/>
        <w:jc w:val="center"/>
        <w:rPr>
          <w:highlight w:val="yellow"/>
        </w:rPr>
      </w:pPr>
      <w:r>
        <w:rPr>
          <w:highlight w:val="yellow"/>
        </w:rPr>
      </w:r>
      <w:bookmarkStart w:id="52" w:name="RANGE!A1%3AAG40"/>
      <w:bookmarkStart w:id="53" w:name="RANGE!A1%3AAG42"/>
      <w:bookmarkStart w:id="54" w:name="RANGE!A1%3AAG40"/>
      <w:bookmarkStart w:id="55" w:name="RANGE!A1%3AAG42"/>
      <w:bookmarkEnd w:id="54"/>
      <w:bookmarkEnd w:id="55"/>
    </w:p>
    <w:tbl>
      <w:tblPr>
        <w:tblW w:w="1343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646"/>
        <w:gridCol w:w="4786"/>
      </w:tblGrid>
      <w:tr>
        <w:trPr/>
        <w:tc>
          <w:tcPr>
            <w:tcW w:w="8646" w:type="dxa"/>
            <w:tcBorders/>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6" w:type="dxa"/>
            <w:tcBorders/>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sectPr>
          <w:headerReference w:type="default" r:id="rId9"/>
          <w:footerReference w:type="default" r:id="rId10"/>
          <w:footnotePr>
            <w:numFmt w:val="decimal"/>
          </w:footnotePr>
          <w:type w:val="nextPage"/>
          <w:pgSz w:orient="landscape" w:w="16838" w:h="11906"/>
          <w:pgMar w:left="1134" w:right="1134" w:gutter="0" w:header="567" w:top="1418" w:footer="284" w:bottom="851"/>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5103" w:hanging="0"/>
        <w:rPr>
          <w:sz w:val="22"/>
          <w:highlight w:val="lightGray"/>
        </w:rPr>
      </w:pPr>
      <w:r>
        <w:rPr>
          <w:sz w:val="22"/>
          <w:highlight w:val="lightGray"/>
        </w:rPr>
        <w:t xml:space="preserve">Приложение № </w:t>
      </w:r>
      <w:r>
        <w:rPr>
          <w:sz w:val="22"/>
          <w:szCs w:val="22"/>
          <w:highlight w:val="lightGray"/>
        </w:rPr>
        <w:t>9</w:t>
      </w:r>
    </w:p>
    <w:p>
      <w:pPr>
        <w:pStyle w:val="Normal"/>
        <w:spacing w:lineRule="auto" w:line="240"/>
        <w:ind w:left="5103" w:hanging="0"/>
        <w:rPr>
          <w:sz w:val="22"/>
          <w:highlight w:val="lightGray"/>
        </w:rPr>
      </w:pPr>
      <w:r>
        <w:rPr>
          <w:sz w:val="22"/>
          <w:highlight w:val="lightGray"/>
        </w:rPr>
        <w:t>к договору подряда</w:t>
      </w:r>
    </w:p>
    <w:p>
      <w:pPr>
        <w:pStyle w:val="Normal"/>
        <w:spacing w:lineRule="auto" w:line="240"/>
        <w:ind w:left="5103" w:hanging="0"/>
        <w:rPr>
          <w:sz w:val="22"/>
          <w:highlight w:val="lightGray"/>
        </w:rPr>
      </w:pPr>
      <w:r>
        <w:rPr>
          <w:sz w:val="22"/>
          <w:szCs w:val="22"/>
          <w:highlight w:val="lightGray"/>
        </w:rPr>
        <w:t>от «____» __________ 20__ № ____</w:t>
      </w:r>
    </w:p>
    <w:p>
      <w:pPr>
        <w:pStyle w:val="Normal"/>
        <w:spacing w:lineRule="auto" w:line="240"/>
        <w:jc w:val="center"/>
        <w:rPr>
          <w:b/>
          <w:b/>
          <w:sz w:val="22"/>
          <w:highlight w:val="lightGray"/>
        </w:rPr>
      </w:pPr>
      <w:r>
        <w:rPr>
          <w:b/>
          <w:sz w:val="22"/>
          <w:highlight w:val="lightGray"/>
        </w:rPr>
      </w:r>
    </w:p>
    <w:p>
      <w:pPr>
        <w:pStyle w:val="Normal"/>
        <w:spacing w:lineRule="auto" w:line="240"/>
        <w:jc w:val="center"/>
        <w:rPr>
          <w:b/>
          <w:b/>
          <w:sz w:val="22"/>
          <w:highlight w:val="lightGray"/>
        </w:rPr>
      </w:pPr>
      <w:r>
        <w:rPr>
          <w:b/>
          <w:sz w:val="22"/>
          <w:highlight w:val="lightGray"/>
        </w:rPr>
      </w:r>
    </w:p>
    <w:p>
      <w:pPr>
        <w:pStyle w:val="Normal"/>
        <w:spacing w:lineRule="auto" w:line="240"/>
        <w:rPr>
          <w:b/>
          <w:b/>
          <w:sz w:val="22"/>
          <w:highlight w:val="lightGray"/>
        </w:rPr>
      </w:pPr>
      <w:r>
        <w:rPr>
          <w:b/>
          <w:sz w:val="22"/>
          <w:highlight w:val="lightGray"/>
        </w:rPr>
      </w:r>
    </w:p>
    <w:p>
      <w:pPr>
        <w:pStyle w:val="Normal"/>
        <w:spacing w:lineRule="auto" w:line="240"/>
        <w:jc w:val="center"/>
        <w:rPr>
          <w:b/>
          <w:b/>
          <w:sz w:val="22"/>
          <w:highlight w:val="lightGray"/>
        </w:rPr>
      </w:pPr>
      <w:r>
        <w:rPr>
          <w:b/>
          <w:sz w:val="22"/>
          <w:highlight w:val="lightGray"/>
        </w:rPr>
      </w:r>
    </w:p>
    <w:p>
      <w:pPr>
        <w:pStyle w:val="Normal"/>
        <w:spacing w:lineRule="auto" w:line="240"/>
        <w:ind w:hanging="0"/>
        <w:jc w:val="center"/>
        <w:rPr>
          <w:b/>
          <w:b/>
          <w:color w:val="000000"/>
          <w:spacing w:val="2"/>
          <w:sz w:val="24"/>
        </w:rPr>
      </w:pPr>
      <w:r>
        <w:rPr>
          <w:b/>
          <w:color w:val="000000"/>
          <w:spacing w:val="2"/>
          <w:sz w:val="24"/>
        </w:rPr>
        <w:t xml:space="preserve">Требования к страховой компании </w:t>
      </w:r>
    </w:p>
    <w:p>
      <w:pPr>
        <w:pStyle w:val="Normal"/>
        <w:spacing w:lineRule="auto" w:line="240"/>
        <w:ind w:hanging="0"/>
        <w:jc w:val="center"/>
        <w:rPr>
          <w:b/>
          <w:b/>
          <w:color w:val="000000"/>
          <w:spacing w:val="2"/>
          <w:sz w:val="24"/>
        </w:rPr>
      </w:pPr>
      <w:r>
        <w:rPr>
          <w:b/>
          <w:color w:val="000000"/>
          <w:spacing w:val="2"/>
          <w:sz w:val="24"/>
        </w:rPr>
        <w:t>и существенные минимальные условия договора страхования</w:t>
      </w:r>
    </w:p>
    <w:p>
      <w:pPr>
        <w:pStyle w:val="Normal"/>
        <w:spacing w:lineRule="auto" w:line="240"/>
        <w:ind w:hanging="0"/>
        <w:jc w:val="center"/>
        <w:rPr>
          <w:b/>
          <w:b/>
          <w:color w:val="000000"/>
          <w:spacing w:val="2"/>
        </w:rPr>
      </w:pPr>
      <w:r>
        <w:rPr>
          <w:b/>
          <w:color w:val="000000"/>
          <w:spacing w:val="2"/>
        </w:rPr>
      </w:r>
    </w:p>
    <w:p>
      <w:pPr>
        <w:pStyle w:val="ListParagraph"/>
        <w:shd w:val="clear" w:color="auto" w:fill="FFFFFF"/>
        <w:tabs>
          <w:tab w:val="clear" w:pos="708"/>
          <w:tab w:val="left" w:pos="709" w:leader="none"/>
        </w:tabs>
        <w:ind w:left="0" w:hanging="0"/>
        <w:jc w:val="both"/>
        <w:rPr>
          <w:b/>
          <w:b/>
        </w:rPr>
      </w:pPr>
      <w:r>
        <w:rPr>
          <w:b/>
        </w:rPr>
        <w:t>1.</w:t>
        <w:tab/>
      </w:r>
      <w:r>
        <w:rPr>
          <w:rFonts w:cs="TimesNewRomanPS-BoldMT" w:ascii="TimesNewRomanPS-BoldMT" w:hAnsi="TimesNewRomanPS-BoldMT"/>
          <w:b/>
          <w:bCs/>
          <w:color w:val="000000"/>
          <w:sz w:val="24"/>
          <w:szCs w:val="24"/>
        </w:rPr>
        <w:t>Требования к страховой компании:</w:t>
      </w:r>
    </w:p>
    <w:p>
      <w:pPr>
        <w:pStyle w:val="Normal"/>
        <w:numPr>
          <w:ilvl w:val="0"/>
          <w:numId w:val="3"/>
        </w:numPr>
        <w:suppressAutoHyphens w:val="true"/>
        <w:spacing w:lineRule="auto" w:line="240" w:before="0" w:after="0"/>
        <w:ind w:left="0" w:firstLine="426"/>
        <w:jc w:val="both"/>
        <w:rPr>
          <w:rFonts w:ascii="Times New Roman" w:hAnsi="Times New Roman" w:eastAsia="Times New Roman" w:cs="Times New Roman"/>
          <w:sz w:val="24"/>
          <w:szCs w:val="24"/>
          <w:lang w:eastAsia="ru-RU"/>
        </w:rPr>
      </w:pPr>
      <w:r>
        <w:rPr>
          <w:rFonts w:eastAsia="Times New Roman" w:cs="Times New Roman"/>
          <w:sz w:val="24"/>
          <w:szCs w:val="24"/>
          <w:lang w:eastAsia="ru-RU"/>
        </w:rPr>
        <w:t>Страховщик должен являться членом саморегулируемой организации на базе Всероссийского союза страховщиков (СРО ВСС);</w:t>
      </w:r>
    </w:p>
    <w:p>
      <w:pPr>
        <w:pStyle w:val="Normal"/>
        <w:numPr>
          <w:ilvl w:val="0"/>
          <w:numId w:val="3"/>
        </w:numPr>
        <w:suppressAutoHyphens w:val="true"/>
        <w:spacing w:lineRule="auto" w:line="240" w:before="0" w:after="0"/>
        <w:ind w:left="0" w:firstLine="426"/>
        <w:jc w:val="both"/>
        <w:rPr>
          <w:rFonts w:ascii="Times New Roman" w:hAnsi="Times New Roman" w:eastAsia="Times New Roman" w:cs="Times New Roman"/>
          <w:sz w:val="24"/>
          <w:szCs w:val="24"/>
          <w:lang w:eastAsia="ru-RU"/>
        </w:rPr>
      </w:pPr>
      <w:r>
        <w:rPr>
          <w:rFonts w:eastAsia="Times New Roman" w:cs="Times New Roman"/>
          <w:sz w:val="24"/>
          <w:szCs w:val="24"/>
          <w:lang w:eastAsia="ru-RU"/>
        </w:rPr>
        <w:t>Страховщик не должен иметь неисполненных в срок предписаний органа страхового надзора;</w:t>
      </w:r>
    </w:p>
    <w:p>
      <w:pPr>
        <w:pStyle w:val="Normal"/>
        <w:numPr>
          <w:ilvl w:val="0"/>
          <w:numId w:val="3"/>
        </w:numPr>
        <w:suppressAutoHyphens w:val="true"/>
        <w:spacing w:lineRule="auto" w:line="240" w:before="0" w:after="0"/>
        <w:ind w:left="0" w:firstLine="426"/>
        <w:jc w:val="both"/>
        <w:rPr>
          <w:rFonts w:ascii="Times New Roman" w:hAnsi="Times New Roman" w:eastAsia="Times New Roman" w:cs="Times New Roman"/>
          <w:sz w:val="24"/>
          <w:szCs w:val="24"/>
          <w:lang w:eastAsia="ru-RU"/>
        </w:rPr>
      </w:pPr>
      <w:r>
        <w:rPr>
          <w:rFonts w:eastAsia="Times New Roman" w:cs="Times New Roman"/>
          <w:sz w:val="24"/>
          <w:szCs w:val="24"/>
          <w:lang w:eastAsia="ru-RU"/>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numPr>
          <w:ilvl w:val="0"/>
          <w:numId w:val="3"/>
        </w:numPr>
        <w:suppressAutoHyphens w:val="true"/>
        <w:spacing w:lineRule="auto" w:line="240" w:before="0" w:after="0"/>
        <w:ind w:left="0" w:firstLine="426"/>
        <w:jc w:val="both"/>
        <w:rPr>
          <w:rFonts w:ascii="Times New Roman" w:hAnsi="Times New Roman" w:eastAsia="Times New Roman" w:cs="Times New Roman"/>
          <w:sz w:val="24"/>
          <w:szCs w:val="24"/>
          <w:lang w:eastAsia="ru-RU"/>
        </w:rPr>
      </w:pPr>
      <w:r>
        <w:rPr>
          <w:rFonts w:eastAsia="Times New Roman" w:cs="Times New Roman"/>
          <w:sz w:val="24"/>
          <w:szCs w:val="24"/>
          <w:lang w:eastAsia="ru-RU"/>
        </w:rPr>
        <w:t>Страховщик должен иметь облигаторную перестраховочную защиту строительно-монтажных рисков с емкостью не менее 8 миллиардов рублей.</w:t>
      </w:r>
    </w:p>
    <w:p>
      <w:pPr>
        <w:pStyle w:val="Normal"/>
        <w:spacing w:lineRule="auto" w:line="240" w:before="0" w:after="0"/>
        <w:ind w:firstLine="426"/>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 Существенные минимальные условия договора страхования:</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2.1. Объект страхования:</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Страховщик осуществляет страхование имущественных интересов Страхователя (Выгодоприобретателя), связанных с:</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Normal"/>
        <w:spacing w:lineRule="auto" w:line="240" w:before="0" w:after="0"/>
        <w:ind w:firstLine="426"/>
        <w:jc w:val="both"/>
        <w:rPr>
          <w:rFonts w:ascii="TimesNewRomanPSMT" w:hAnsi="TimesNewRomanPSMT" w:cs="TimesNewRomanPSMT"/>
          <w:color w:val="000000"/>
          <w:sz w:val="24"/>
          <w:szCs w:val="24"/>
        </w:rPr>
      </w:pPr>
      <w:r>
        <w:rPr>
          <w:rFonts w:cs="SymbolMT" w:ascii="SymbolMT" w:hAnsi="SymbolMT"/>
          <w:color w:val="000000"/>
          <w:sz w:val="24"/>
          <w:szCs w:val="24"/>
        </w:rPr>
        <w:t xml:space="preserve">− </w:t>
      </w:r>
      <w:r>
        <w:rPr>
          <w:rFonts w:cs="TimesNewRomanPSMT" w:ascii="TimesNewRomanPSMT" w:hAnsi="TimesNewRomanPSMT"/>
          <w:color w:val="000000"/>
          <w:sz w:val="24"/>
          <w:szCs w:val="24"/>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2.2. Страховые случаи, страховые риски:</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spacing w:lineRule="auto" w:line="240" w:before="0" w:after="0"/>
        <w:ind w:firstLine="426"/>
        <w:jc w:val="both"/>
        <w:rPr>
          <w:rFonts w:ascii="Times New Roman" w:hAnsi="Times New Roman" w:cs="Times New Roman"/>
          <w:sz w:val="24"/>
          <w:szCs w:val="24"/>
        </w:rPr>
      </w:pPr>
      <w:r>
        <w:rPr>
          <w:rFonts w:cs="Times New Roman"/>
          <w:sz w:val="24"/>
          <w:szCs w:val="24"/>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cs="Times New Roman"/>
          <w:sz w:val="24"/>
          <w:szCs w:val="24"/>
          <w:lang w:val="en-US"/>
        </w:rPr>
        <w:t>LEG</w:t>
      </w:r>
      <w:r>
        <w:rPr>
          <w:rFonts w:cs="Times New Roman"/>
          <w:sz w:val="24"/>
          <w:szCs w:val="24"/>
        </w:rPr>
        <w:t>3/06.</w:t>
      </w:r>
    </w:p>
    <w:p>
      <w:pPr>
        <w:pStyle w:val="Normal"/>
        <w:spacing w:lineRule="auto" w:line="240" w:before="0" w:after="0"/>
        <w:ind w:firstLine="426"/>
        <w:jc w:val="both"/>
        <w:rPr>
          <w:rFonts w:ascii="Times New Roman" w:hAnsi="Times New Roman" w:cs="Times New Roman"/>
          <w:color w:val="0E0E0F"/>
          <w:sz w:val="24"/>
          <w:szCs w:val="24"/>
        </w:rPr>
      </w:pPr>
      <w:r>
        <w:rPr>
          <w:rFonts w:cs="Times New Roman"/>
          <w:sz w:val="24"/>
          <w:szCs w:val="24"/>
        </w:rPr>
        <w:t xml:space="preserve">По группе рисков </w:t>
      </w:r>
      <w:r>
        <w:rPr>
          <w:rFonts w:cs="Times New Roman"/>
          <w:color w:val="000000"/>
          <w:sz w:val="24"/>
          <w:szCs w:val="24"/>
        </w:rPr>
        <w:t xml:space="preserve">«террористический акт» и «диверсия» </w:t>
      </w:r>
      <w:r>
        <w:rPr>
          <w:rFonts w:cs="Times New Roman"/>
          <w:sz w:val="24"/>
          <w:szCs w:val="24"/>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По Секции 3 страхование должно осуществляться на условиях «с ответственностью за все риски», включая риски «террористический акт» и «диверсия».</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 Страховые суммы, лимиты, франшизы, тариф, премия, срок действия, территория страхования:</w:t>
      </w:r>
    </w:p>
    <w:p>
      <w:pPr>
        <w:pStyle w:val="Normal"/>
        <w:spacing w:lineRule="auto" w:line="240" w:before="0" w:after="0"/>
        <w:jc w:val="both"/>
        <w:rPr>
          <w:rFonts w:ascii="TimesNewRomanPS-ItalicMT" w:hAnsi="TimesNewRomanPS-ItalicMT" w:cs="TimesNewRomanPS-ItalicMT"/>
          <w:i/>
          <w:i/>
          <w:iCs/>
          <w:color w:val="000000"/>
          <w:sz w:val="20"/>
          <w:szCs w:val="20"/>
        </w:rPr>
      </w:pPr>
      <w:r>
        <w:rPr>
          <w:rFonts w:cs="TimesNewRomanPS-ItalicMT" w:ascii="TimesNewRomanPS-ItalicMT" w:hAnsi="TimesNewRomanPS-ItalicMT"/>
          <w:i/>
          <w:iCs/>
          <w:color w:val="000000"/>
          <w:sz w:val="20"/>
          <w:szCs w:val="20"/>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2.3.1. Страховая сумма и лимиты по Секции 1:</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MT" w:ascii="TimesNewRomanPSMT" w:hAnsi="TimesNewRomanPSMT"/>
          <w:color w:val="000000"/>
          <w:sz w:val="24"/>
          <w:szCs w:val="24"/>
        </w:rPr>
        <w:t xml:space="preserve">2.3.1.1. Страховая сумма по Секции 1 устанавливается в размере </w:t>
      </w:r>
      <w:r>
        <w:rPr>
          <w:rFonts w:cs="TimesNewRomanPS-BoldMT" w:ascii="TimesNewRomanPS-BoldMT" w:hAnsi="TimesNewRomanPS-BoldMT"/>
          <w:b/>
          <w:bCs/>
          <w:color w:val="000000"/>
          <w:sz w:val="24"/>
          <w:szCs w:val="24"/>
        </w:rPr>
        <w:t>_____________________________.</w:t>
      </w:r>
    </w:p>
    <w:p>
      <w:pPr>
        <w:pStyle w:val="Normal"/>
        <w:spacing w:lineRule="auto" w:line="240" w:before="0" w:after="0"/>
        <w:ind w:firstLine="426"/>
        <w:jc w:val="both"/>
        <w:rPr>
          <w:rFonts w:ascii="TimesNewRomanPS-BoldItalicMT" w:hAnsi="TimesNewRomanPS-BoldItalicMT" w:cs="TimesNewRomanPS-BoldItalicMT"/>
          <w:bCs/>
          <w:i/>
          <w:i/>
          <w:iCs/>
          <w:color w:val="000000"/>
          <w:sz w:val="24"/>
          <w:szCs w:val="24"/>
        </w:rPr>
      </w:pPr>
      <w:r>
        <w:rPr>
          <w:rFonts w:cs="TimesNewRomanPS-BoldItalicMT" w:ascii="TimesNewRomanPS-BoldItalicMT" w:hAnsi="TimesNewRomanPS-BoldItalicMT"/>
          <w:bCs/>
          <w:i/>
          <w:iCs/>
          <w:color w:val="000000"/>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cs="TimesNewRomanPS-BoldItalicMT" w:ascii="TimesNewRomanPS-BoldItalicMT" w:hAnsi="TimesNewRomanPS-BoldItalicMT"/>
          <w:b/>
          <w:bCs/>
          <w:i/>
          <w:iCs/>
          <w:color w:val="000000"/>
          <w:sz w:val="24"/>
          <w:szCs w:val="24"/>
        </w:rPr>
        <w:t>«стоимости (цены) договора подряда (с НДС) и стоимости Оборудования Заказчика</w:t>
      </w:r>
      <w:r>
        <w:rPr>
          <w:rFonts w:cs="TimesNewRomanPS-BoldItalicMT" w:ascii="TimesNewRomanPS-BoldItalicMT" w:hAnsi="TimesNewRomanPS-BoldItalicMT"/>
          <w:bCs/>
          <w:i/>
          <w:iCs/>
          <w:color w:val="000000"/>
          <w:sz w:val="24"/>
          <w:szCs w:val="24"/>
        </w:rPr>
        <w:t>».</w:t>
      </w:r>
    </w:p>
    <w:p>
      <w:pPr>
        <w:pStyle w:val="Normal"/>
        <w:spacing w:lineRule="auto" w:line="240" w:before="0" w:after="0"/>
        <w:ind w:firstLine="426"/>
        <w:jc w:val="both"/>
        <w:rPr>
          <w:rFonts w:ascii="TimesNewRomanPS-BoldItalicMT" w:hAnsi="TimesNewRomanPS-BoldItalicMT" w:cs="TimesNewRomanPS-BoldItalicMT"/>
          <w:bCs/>
          <w:i/>
          <w:i/>
          <w:iCs/>
          <w:color w:val="000000"/>
          <w:sz w:val="24"/>
          <w:szCs w:val="24"/>
        </w:rPr>
      </w:pPr>
      <w:r>
        <w:rPr>
          <w:rFonts w:cs="TimesNewRomanPS-BoldItalicMT" w:ascii="TimesNewRomanPS-BoldItalicMT" w:hAnsi="TimesNewRomanPS-BoldItalicMT"/>
          <w:bCs/>
          <w:i/>
          <w:iCs/>
          <w:color w:val="000000"/>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 «</w:t>
      </w:r>
      <w:r>
        <w:rPr>
          <w:rFonts w:cs="TimesNewRomanPS-BoldItalicMT" w:ascii="TimesNewRomanPS-BoldItalicMT" w:hAnsi="TimesNewRomanPS-BoldItalicMT"/>
          <w:b/>
          <w:bCs/>
          <w:i/>
          <w:iCs/>
          <w:color w:val="000000"/>
          <w:sz w:val="24"/>
          <w:szCs w:val="24"/>
        </w:rPr>
        <w:t>стоимости (цены) договора подряда (с НДС)</w:t>
      </w:r>
      <w:r>
        <w:rPr>
          <w:rFonts w:cs="TimesNewRomanPS-BoldItalicMT" w:ascii="TimesNewRomanPS-BoldItalicMT" w:hAnsi="TimesNewRomanPS-BoldItalicMT"/>
          <w:bCs/>
          <w:i/>
          <w:iCs/>
          <w:color w:val="000000"/>
          <w:sz w:val="24"/>
          <w:szCs w:val="24"/>
        </w:rPr>
        <w:t>».</w:t>
      </w:r>
    </w:p>
    <w:p>
      <w:pPr>
        <w:pStyle w:val="Normal"/>
        <w:spacing w:lineRule="auto" w:line="240" w:before="0" w:after="0"/>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2.3.1.2. Лимит возмещения по каждому и всем страховым случаям (за исключением рисков «террористический акт» и «диверсия»): ______________________.</w:t>
      </w:r>
    </w:p>
    <w:p>
      <w:pPr>
        <w:pStyle w:val="Normal"/>
        <w:spacing w:lineRule="auto" w:line="240" w:before="0" w:after="0"/>
        <w:ind w:firstLine="567"/>
        <w:jc w:val="both"/>
        <w:rPr>
          <w:rFonts w:ascii="TimesNewRomanPS-ItalicMT" w:hAnsi="TimesNewRomanPS-ItalicMT" w:cs="TimesNewRomanPS-ItalicMT"/>
          <w:i/>
          <w:i/>
          <w:iCs/>
          <w:color w:val="000000"/>
          <w:sz w:val="24"/>
          <w:szCs w:val="24"/>
        </w:rPr>
      </w:pPr>
      <w:r>
        <w:rPr>
          <w:rFonts w:cs="TimesNewRomanPS-ItalicMT" w:ascii="TimesNewRomanPS-ItalicMT" w:hAnsi="TimesNewRomanPS-ItalicMT"/>
          <w:i/>
          <w:iCs/>
          <w:color w:val="000000"/>
          <w:sz w:val="24"/>
          <w:szCs w:val="24"/>
        </w:rPr>
        <w:t xml:space="preserve">Вариант </w:t>
      </w:r>
      <w:r>
        <w:rPr>
          <w:rFonts w:cs="TimesNewRomanPS-BoldItalicMT" w:ascii="TimesNewRomanPS-BoldItalicMT" w:hAnsi="TimesNewRomanPS-BoldItalicMT"/>
          <w:b/>
          <w:bCs/>
          <w:i/>
          <w:iCs/>
          <w:color w:val="000000"/>
          <w:sz w:val="24"/>
          <w:szCs w:val="24"/>
        </w:rPr>
        <w:t xml:space="preserve">«А»: </w:t>
      </w:r>
      <w:r>
        <w:rPr>
          <w:rFonts w:cs="TimesNewRomanPS-ItalicMT" w:ascii="TimesNewRomanPS-ItalicMT" w:hAnsi="TimesNewRomanPS-ItalicMT"/>
          <w:i/>
          <w:iCs/>
          <w:color w:val="000000"/>
          <w:sz w:val="24"/>
          <w:szCs w:val="24"/>
        </w:rPr>
        <w:t>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cs="TimesNewRomanPS-ItalicMT" w:ascii="TimesNewRomanPS-ItalicMT" w:hAnsi="TimesNewRomanPS-ItalicMT"/>
          <w:b/>
          <w:i/>
          <w:iCs/>
          <w:color w:val="000000"/>
          <w:sz w:val="24"/>
          <w:szCs w:val="24"/>
        </w:rPr>
        <w:t>не устанавливается</w:t>
      </w:r>
      <w:r>
        <w:rPr>
          <w:rFonts w:cs="TimesNewRomanPS-ItalicMT" w:ascii="TimesNewRomanPS-ItalicMT" w:hAnsi="TimesNewRomanPS-ItalicMT"/>
          <w:i/>
          <w:iCs/>
          <w:color w:val="000000"/>
          <w:sz w:val="24"/>
          <w:szCs w:val="24"/>
        </w:rPr>
        <w:t>».</w:t>
      </w:r>
    </w:p>
    <w:p>
      <w:pPr>
        <w:pStyle w:val="Normal"/>
        <w:spacing w:lineRule="auto" w:line="240" w:before="0" w:after="0"/>
        <w:ind w:firstLine="567"/>
        <w:jc w:val="both"/>
        <w:rPr>
          <w:rFonts w:ascii="TimesNewRomanPS-ItalicMT" w:hAnsi="TimesNewRomanPS-ItalicMT" w:cs="TimesNewRomanPS-ItalicMT"/>
          <w:i/>
          <w:i/>
          <w:iCs/>
          <w:sz w:val="24"/>
          <w:szCs w:val="24"/>
        </w:rPr>
      </w:pPr>
      <w:r>
        <w:rPr>
          <w:rFonts w:cs="TimesNewRomanPS-ItalicMT" w:ascii="TimesNewRomanPS-ItalicMT" w:hAnsi="TimesNewRomanPS-ItalicMT"/>
          <w:i/>
          <w:iCs/>
          <w:color w:val="000000"/>
          <w:sz w:val="24"/>
          <w:szCs w:val="24"/>
        </w:rPr>
        <w:t xml:space="preserve">Вариант </w:t>
      </w:r>
      <w:r>
        <w:rPr>
          <w:rFonts w:cs="TimesNewRomanPS-BoldItalicMT" w:ascii="TimesNewRomanPS-BoldItalicMT" w:hAnsi="TimesNewRomanPS-BoldItalicMT"/>
          <w:b/>
          <w:bCs/>
          <w:i/>
          <w:iCs/>
          <w:color w:val="000000"/>
          <w:sz w:val="24"/>
          <w:szCs w:val="24"/>
        </w:rPr>
        <w:t xml:space="preserve">«Б»: </w:t>
      </w:r>
      <w:r>
        <w:rPr>
          <w:rFonts w:cs="TimesNewRomanPS-ItalicMT" w:ascii="TimesNewRomanPS-ItalicMT" w:hAnsi="TimesNewRomanPS-ItalicMT"/>
          <w:i/>
          <w:iCs/>
          <w:color w:val="000000"/>
          <w:sz w:val="24"/>
          <w:szCs w:val="24"/>
        </w:rPr>
        <w:t>В случае, если размер безусло</w:t>
      </w:r>
      <w:bookmarkStart w:id="56" w:name="_GoBack1"/>
      <w:bookmarkEnd w:id="56"/>
      <w:r>
        <w:rPr>
          <w:rFonts w:cs="TimesNewRomanPS-ItalicMT" w:ascii="TimesNewRomanPS-ItalicMT" w:hAnsi="TimesNewRomanPS-ItalicMT"/>
          <w:i/>
          <w:iCs/>
          <w:color w:val="000000"/>
          <w:sz w:val="24"/>
          <w:szCs w:val="24"/>
        </w:rPr>
        <w:t xml:space="preserve">вной франшизы договора страхования имущества Заказчика менее стоимости (цены) договора подряда (без учета НДС), то в качестве </w:t>
      </w:r>
      <w:r>
        <w:rPr>
          <w:rFonts w:cs="TimesNewRomanPS-ItalicMT" w:ascii="TimesNewRomanPS-ItalicMT" w:hAnsi="TimesNewRomanPS-ItalicMT"/>
          <w:i/>
          <w:iCs/>
          <w:sz w:val="24"/>
          <w:szCs w:val="24"/>
        </w:rPr>
        <w:t>лимита возмещения по каждому и всем страховым случаям указывается размер безусловной франшизы договора страхования имущества Заказчика.</w:t>
      </w:r>
    </w:p>
    <w:p>
      <w:pPr>
        <w:pStyle w:val="Normal"/>
        <w:spacing w:lineRule="auto" w:line="240" w:before="0" w:after="0"/>
        <w:jc w:val="both"/>
        <w:rPr>
          <w:rFonts w:ascii="Times New Roman" w:hAnsi="Times New Roman" w:cs="Times New Roman"/>
          <w:sz w:val="24"/>
          <w:szCs w:val="24"/>
        </w:rPr>
      </w:pPr>
      <w:r>
        <w:rPr>
          <w:rFonts w:cs="Times New Roman"/>
          <w:color w:val="000000"/>
          <w:sz w:val="24"/>
          <w:szCs w:val="24"/>
        </w:rPr>
        <w:t xml:space="preserve">2.3.1.3. Лимит возмещения по рискам «террористический акт» и «диверсия» </w:t>
      </w:r>
      <w:r>
        <w:rPr>
          <w:rFonts w:cs="Times New Roman"/>
          <w:sz w:val="24"/>
          <w:szCs w:val="24"/>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cs="Times New Roman"/>
          <w:color w:val="000000"/>
          <w:sz w:val="24"/>
          <w:szCs w:val="24"/>
        </w:rPr>
        <w:t xml:space="preserve">в размере не менее, чем определенный </w:t>
      </w:r>
      <w:r>
        <w:rPr>
          <w:rFonts w:cs="Times New Roman"/>
          <w:iCs/>
          <w:color w:val="000000"/>
          <w:sz w:val="24"/>
          <w:szCs w:val="24"/>
        </w:rPr>
        <w:t xml:space="preserve">по результатам последних (актуальных) закупочных мероприятий в отношении строительно-монтажных рисков Группы РусГидро. </w:t>
      </w:r>
    </w:p>
    <w:p>
      <w:pPr>
        <w:pStyle w:val="Normal"/>
        <w:spacing w:lineRule="auto" w:line="240" w:before="0" w:after="0"/>
        <w:jc w:val="both"/>
        <w:rPr>
          <w:rFonts w:ascii="TimesNewRomanPSMT" w:hAnsi="TimesNewRomanPSMT" w:cs="TimesNewRomanPSMT"/>
          <w:color w:val="000000"/>
          <w:sz w:val="24"/>
          <w:szCs w:val="24"/>
        </w:rPr>
      </w:pPr>
      <w:r>
        <w:rPr>
          <w:rFonts w:cs="Times New Roman"/>
          <w:color w:val="000000"/>
          <w:sz w:val="24"/>
          <w:szCs w:val="24"/>
        </w:rPr>
        <w:t>2.3.1.4. Страховая сумма в отношении покрытия рисков ППГО</w:t>
      </w:r>
      <w:r>
        <w:rPr>
          <w:rFonts w:cs="TimesNewRomanPSMT" w:ascii="TimesNewRomanPSMT" w:hAnsi="TimesNewRomanPSMT"/>
          <w:color w:val="000000"/>
          <w:sz w:val="24"/>
          <w:szCs w:val="24"/>
        </w:rPr>
        <w:t xml:space="preserve"> должна соответствовать страховой сумме по Секции 1.</w:t>
      </w:r>
    </w:p>
    <w:p>
      <w:pPr>
        <w:pStyle w:val="Normal"/>
        <w:spacing w:lineRule="auto" w:line="240" w:before="0" w:after="0"/>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2.3.2. Страховая сумма по Секции 2:</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Страховая сумма по Секции 2 устанавливается в размере 15 (пятнадцати) процентов от размера страховой суммы по Секции 1.</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2.3.3. Страховая сумма по Секции 3:</w:t>
      </w:r>
    </w:p>
    <w:p>
      <w:pPr>
        <w:pStyle w:val="Normal"/>
        <w:spacing w:lineRule="auto" w:line="240" w:before="0" w:after="0"/>
        <w:ind w:firstLine="426"/>
        <w:jc w:val="both"/>
        <w:rPr>
          <w:rFonts w:ascii="TimesNewRomanPS-BoldMT" w:hAnsi="TimesNewRomanPS-BoldMT" w:cs="TimesNewRomanPS-BoldMT"/>
          <w:bCs/>
          <w:color w:val="000000"/>
          <w:sz w:val="24"/>
          <w:szCs w:val="24"/>
        </w:rPr>
      </w:pPr>
      <w:r>
        <w:rPr>
          <w:rFonts w:cs="TimesNewRomanPSMT" w:ascii="TimesNewRomanPSMT" w:hAnsi="TimesNewRomanPSMT"/>
          <w:color w:val="000000"/>
          <w:sz w:val="24"/>
          <w:szCs w:val="24"/>
        </w:rPr>
        <w:t xml:space="preserve">Страховая сумма по Секции 3 устанавливается в размере </w:t>
      </w:r>
      <w:r>
        <w:rPr>
          <w:rFonts w:cs="TimesNewRomanPS-BoldMT" w:ascii="TimesNewRomanPS-BoldMT" w:hAnsi="TimesNewRomanPS-BoldMT"/>
          <w:bCs/>
          <w:color w:val="000000"/>
          <w:sz w:val="24"/>
          <w:szCs w:val="24"/>
        </w:rPr>
        <w:t>стоимости груза (оборудования), поставляемого Подрядчиком по условиям договора подряда (с НДС).</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2.3.4. Франшиза:</w:t>
      </w:r>
    </w:p>
    <w:p>
      <w:pPr>
        <w:pStyle w:val="Normal"/>
        <w:spacing w:lineRule="auto" w:line="240" w:before="0" w:after="0"/>
        <w:ind w:firstLine="426"/>
        <w:jc w:val="both"/>
        <w:rPr>
          <w:rFonts w:ascii="Times New Roman" w:hAnsi="Times New Roman" w:cs="Times New Roman"/>
          <w:color w:val="000000"/>
          <w:sz w:val="24"/>
          <w:szCs w:val="24"/>
        </w:rPr>
      </w:pPr>
      <w:r>
        <w:rPr>
          <w:rFonts w:cs="TimesNewRomanPSMT" w:ascii="TimesNewRomanPSMT" w:hAnsi="TimesNewRomanPSMT"/>
          <w:color w:val="000000"/>
          <w:sz w:val="24"/>
          <w:szCs w:val="24"/>
        </w:rPr>
        <w:t xml:space="preserve">Безусловная франшиза по Секции 1 устанавливается в размере не более, чем определенная </w:t>
      </w:r>
      <w:r>
        <w:rPr>
          <w:rFonts w:cs="Times New Roman"/>
          <w:iCs/>
          <w:color w:val="000000"/>
          <w:sz w:val="24"/>
          <w:szCs w:val="24"/>
        </w:rPr>
        <w:t>по результатам последних (актуальных) закупочных мероприятий, осуществленных в отношении строительно-монтажных рисков Группы РусГидро</w:t>
      </w:r>
      <w:r>
        <w:rPr>
          <w:rFonts w:cs="Times New Roman"/>
          <w:color w:val="000000"/>
          <w:sz w:val="24"/>
          <w:szCs w:val="24"/>
        </w:rPr>
        <w:t>.</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По Секциям 2, 3 франшизы не устанавливаются.</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2.3.5. Страховой тариф:</w:t>
      </w:r>
    </w:p>
    <w:p>
      <w:pPr>
        <w:pStyle w:val="Normal"/>
        <w:spacing w:lineRule="auto" w:line="240" w:before="0" w:after="0"/>
        <w:ind w:firstLine="426"/>
        <w:jc w:val="both"/>
        <w:rPr>
          <w:rFonts w:ascii="Times New Roman" w:hAnsi="Times New Roman" w:cs="Times New Roman"/>
          <w:color w:val="000000"/>
          <w:sz w:val="24"/>
          <w:szCs w:val="24"/>
        </w:rPr>
      </w:pPr>
      <w:r>
        <w:rPr>
          <w:rFonts w:cs="Times New Roman"/>
          <w:color w:val="000000"/>
          <w:sz w:val="24"/>
          <w:szCs w:val="24"/>
        </w:rPr>
        <w:t>Страховые тарифы по Секциям 1, 2 и Секции 3 у</w:t>
      </w:r>
      <w:r>
        <w:rPr>
          <w:rFonts w:cs="Times New Roman"/>
          <w:iCs/>
          <w:color w:val="000000"/>
          <w:sz w:val="24"/>
          <w:szCs w:val="24"/>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cs="Times New Roman"/>
          <w:color w:val="000000"/>
          <w:sz w:val="24"/>
          <w:szCs w:val="24"/>
        </w:rPr>
        <w:t>.</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2.3.6. Срок действия договора страхования (период страхования):</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Секция 3: Период осуществления грузоперевозки.</w:t>
      </w:r>
    </w:p>
    <w:p>
      <w:pPr>
        <w:pStyle w:val="Normal"/>
        <w:suppressAutoHyphens w:val="true"/>
        <w:spacing w:lineRule="auto" w:line="240" w:before="0" w:after="0"/>
        <w:ind w:firstLine="425"/>
        <w:jc w:val="both"/>
        <w:rPr>
          <w:rFonts w:ascii="Times New Roman" w:hAnsi="Times New Roman" w:cs="Times New Roman"/>
          <w:sz w:val="24"/>
          <w:szCs w:val="24"/>
        </w:rPr>
      </w:pPr>
      <w:r>
        <w:rPr>
          <w:rFonts w:cs="Times New Roman"/>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suppressAutoHyphens w:val="true"/>
        <w:spacing w:lineRule="auto" w:line="240" w:before="0" w:after="0"/>
        <w:ind w:firstLine="425"/>
        <w:jc w:val="both"/>
        <w:rPr>
          <w:rFonts w:ascii="Times New Roman" w:hAnsi="Times New Roman" w:cs="Times New Roman"/>
          <w:sz w:val="24"/>
          <w:szCs w:val="24"/>
        </w:rPr>
      </w:pPr>
      <w:r>
        <w:rPr>
          <w:rFonts w:cs="Times New Roman"/>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suppressAutoHyphens w:val="true"/>
        <w:spacing w:lineRule="auto" w:line="240" w:before="0" w:after="0"/>
        <w:ind w:firstLine="425"/>
        <w:jc w:val="both"/>
        <w:rPr>
          <w:rFonts w:ascii="Times New Roman" w:hAnsi="Times New Roman" w:cs="Times New Roman"/>
          <w:sz w:val="24"/>
          <w:szCs w:val="24"/>
        </w:rPr>
      </w:pPr>
      <w:r>
        <w:rPr>
          <w:rFonts w:cs="Times New Roman"/>
          <w:sz w:val="24"/>
          <w:szCs w:val="24"/>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2.3.7. Территория страхования:</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Секция 1 и 2: Место проведения строительных и/или монтажных работ.</w:t>
      </w:r>
    </w:p>
    <w:p>
      <w:pPr>
        <w:pStyle w:val="Normal"/>
        <w:spacing w:lineRule="auto" w:line="240" w:before="0" w:after="0"/>
        <w:ind w:firstLine="426"/>
        <w:jc w:val="both"/>
        <w:rPr>
          <w:rFonts w:ascii="TimesNewRomanPSMT" w:hAnsi="TimesNewRomanPSMT" w:cs="TimesNewRomanPSMT"/>
          <w:color w:val="000000"/>
          <w:sz w:val="24"/>
          <w:szCs w:val="24"/>
        </w:rPr>
      </w:pPr>
      <w:r>
        <w:rPr>
          <w:rFonts w:cs="TimesNewRomanPSMT" w:ascii="TimesNewRomanPSMT" w:hAnsi="TimesNewRomanPSMT"/>
          <w:color w:val="000000"/>
          <w:sz w:val="24"/>
          <w:szCs w:val="24"/>
        </w:rPr>
        <w:t>Секция 3: Маршрут следования груза.</w:t>
      </w:r>
    </w:p>
    <w:p>
      <w:pPr>
        <w:pStyle w:val="Normal"/>
        <w:spacing w:lineRule="auto" w:line="240" w:before="0" w:after="0"/>
        <w:jc w:val="both"/>
        <w:rPr>
          <w:rFonts w:ascii="TimesNewRomanPS-BoldMT" w:hAnsi="TimesNewRomanPS-BoldMT" w:cs="TimesNewRomanPS-BoldMT"/>
          <w:b/>
          <w:b/>
          <w:bCs/>
          <w:color w:val="000000"/>
          <w:sz w:val="24"/>
          <w:szCs w:val="24"/>
        </w:rPr>
      </w:pPr>
      <w:r>
        <w:rPr>
          <w:rFonts w:cs="TimesNewRomanPS-BoldMT" w:ascii="TimesNewRomanPS-BoldMT" w:hAnsi="TimesNewRomanPS-BoldMT"/>
          <w:b/>
          <w:bCs/>
          <w:color w:val="000000"/>
          <w:sz w:val="24"/>
          <w:szCs w:val="24"/>
        </w:rPr>
        <w:t>2.3.8. Выгодоприобретатель по Секции 1 договора страхования:</w:t>
      </w:r>
    </w:p>
    <w:p>
      <w:pPr>
        <w:pStyle w:val="ListParagraph"/>
        <w:shd w:val="clear" w:color="auto" w:fill="FFFFFF"/>
        <w:tabs>
          <w:tab w:val="clear" w:pos="708"/>
          <w:tab w:val="left" w:pos="709" w:leader="none"/>
        </w:tabs>
        <w:ind w:left="0" w:hanging="0"/>
        <w:jc w:val="both"/>
        <w:rPr>
          <w:b/>
          <w:b/>
        </w:rPr>
      </w:pPr>
      <w:r>
        <w:rPr>
          <w:rFonts w:cs="TimesNewRomanPSMT" w:ascii="TimesNewRomanPSMT" w:hAnsi="TimesNewRomanPSMT"/>
          <w:b/>
          <w:color w:val="000000"/>
          <w:sz w:val="24"/>
          <w:szCs w:val="24"/>
        </w:rPr>
        <w:t>Страхователь (Подрядчик по договору подряда) и Заказчик по договору подряда.</w:t>
      </w:r>
    </w:p>
    <w:p>
      <w:pPr>
        <w:pStyle w:val="Normal"/>
        <w:shd w:val="clear" w:color="auto" w:fill="FFFFFF"/>
        <w:tabs>
          <w:tab w:val="clear" w:pos="708"/>
          <w:tab w:val="left" w:pos="709" w:leader="none"/>
        </w:tabs>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p>
      <w:pPr>
        <w:pStyle w:val="Normal"/>
        <w:spacing w:lineRule="auto" w:line="240"/>
        <w:ind w:hanging="0"/>
        <w:jc w:val="center"/>
        <w:rPr>
          <w:b/>
          <w:b/>
          <w:color w:val="000000"/>
          <w:spacing w:val="2"/>
          <w:highlight w:val="yellow"/>
        </w:rPr>
      </w:pPr>
      <w:r>
        <w:rPr>
          <w:b/>
          <w:color w:val="000000"/>
          <w:spacing w:val="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11"/>
          <w:footerReference w:type="default" r:id="rId1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hanging="0"/>
        <w:rPr>
          <w:sz w:val="24"/>
          <w:szCs w:val="24"/>
        </w:rPr>
      </w:pPr>
      <w:r>
        <w:rPr>
          <w:sz w:val="24"/>
          <w:szCs w:val="24"/>
        </w:rPr>
      </w:r>
    </w:p>
    <w:p>
      <w:pPr>
        <w:pStyle w:val="Normal"/>
        <w:spacing w:lineRule="auto" w:line="240"/>
        <w:ind w:left="9781" w:hanging="0"/>
        <w:rPr>
          <w:sz w:val="22"/>
          <w:highlight w:val="lightGray"/>
        </w:rPr>
      </w:pPr>
      <w:r>
        <w:rPr>
          <w:sz w:val="22"/>
          <w:highlight w:val="lightGray"/>
        </w:rPr>
        <w:t xml:space="preserve">Приложение № </w:t>
      </w:r>
      <w:r>
        <w:rPr>
          <w:sz w:val="22"/>
          <w:szCs w:val="22"/>
          <w:highlight w:val="lightGray"/>
        </w:rPr>
        <w:t>10</w:t>
      </w:r>
    </w:p>
    <w:p>
      <w:pPr>
        <w:pStyle w:val="Normal"/>
        <w:spacing w:lineRule="auto" w:line="240"/>
        <w:ind w:left="9781" w:hanging="0"/>
        <w:rPr>
          <w:sz w:val="22"/>
          <w:highlight w:val="lightGray"/>
        </w:rPr>
      </w:pPr>
      <w:r>
        <w:rPr>
          <w:sz w:val="22"/>
          <w:highlight w:val="lightGray"/>
        </w:rPr>
        <w:t>к договору подряда</w:t>
      </w:r>
    </w:p>
    <w:p>
      <w:pPr>
        <w:pStyle w:val="Normal"/>
        <w:spacing w:lineRule="auto" w:line="240"/>
        <w:ind w:left="9781" w:hanging="0"/>
        <w:rPr>
          <w:sz w:val="22"/>
          <w:highlight w:val="lightGray"/>
        </w:rPr>
      </w:pPr>
      <w:r>
        <w:rPr>
          <w:sz w:val="22"/>
          <w:szCs w:val="22"/>
          <w:highlight w:val="lightGray"/>
        </w:rPr>
        <w:t>от «____» __________ 20__ № ____</w:t>
      </w:r>
    </w:p>
    <w:p>
      <w:pPr>
        <w:pStyle w:val="Normal"/>
        <w:spacing w:lineRule="auto" w:line="240"/>
        <w:ind w:left="9781" w:hanging="0"/>
        <w:jc w:val="center"/>
        <w:rPr>
          <w:b/>
          <w:b/>
          <w:bCs/>
          <w:color w:val="000000"/>
          <w:sz w:val="24"/>
          <w:szCs w:val="24"/>
        </w:rPr>
      </w:pPr>
      <w:r>
        <w:rPr>
          <w:b/>
          <w:bCs/>
          <w:color w:val="000000"/>
          <w:sz w:val="24"/>
          <w:szCs w:val="24"/>
        </w:rPr>
      </w:r>
    </w:p>
    <w:p>
      <w:pPr>
        <w:pStyle w:val="Normal"/>
        <w:spacing w:lineRule="auto" w:line="240"/>
        <w:ind w:hanging="0"/>
        <w:jc w:val="center"/>
        <w:rPr>
          <w:b/>
          <w:b/>
          <w:sz w:val="24"/>
          <w:szCs w:val="24"/>
        </w:rPr>
      </w:pPr>
      <w:r>
        <w:rPr>
          <w:b/>
          <w:bCs/>
          <w:color w:val="000000"/>
          <w:sz w:val="24"/>
          <w:szCs w:val="24"/>
        </w:rPr>
        <w:t>Форма справки о заключенных договорах Подрядчика по договору с Субподрядчиками</w:t>
      </w:r>
      <w:r>
        <w:rPr>
          <w:b/>
          <w:sz w:val="24"/>
          <w:szCs w:val="24"/>
        </w:rPr>
        <w:t xml:space="preserve">, </w:t>
      </w:r>
    </w:p>
    <w:p>
      <w:pPr>
        <w:pStyle w:val="Normal"/>
        <w:spacing w:lineRule="auto" w:line="240"/>
        <w:ind w:hanging="0"/>
        <w:jc w:val="center"/>
        <w:rPr>
          <w:b/>
          <w:b/>
          <w:sz w:val="24"/>
          <w:szCs w:val="24"/>
        </w:rPr>
      </w:pPr>
      <w:r>
        <w:rPr>
          <w:b/>
          <w:sz w:val="24"/>
          <w:szCs w:val="24"/>
        </w:rPr>
        <w:t>являющимися субъектами малого и среднего предпринимательства</w:t>
      </w:r>
    </w:p>
    <w:p>
      <w:pPr>
        <w:pStyle w:val="Normal"/>
        <w:spacing w:lineRule="auto" w:line="24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288"/>
        <w:gridCol w:w="862"/>
        <w:gridCol w:w="2882"/>
        <w:gridCol w:w="1010"/>
        <w:gridCol w:w="3463"/>
        <w:gridCol w:w="2156"/>
        <w:gridCol w:w="2737"/>
        <w:gridCol w:w="2304"/>
      </w:tblGrid>
      <w:tr>
        <w:trPr>
          <w:trHeight w:val="1327" w:hRule="atLeast"/>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Юр./Физ. лицо</w:t>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ИНН/КПП/ОКПО/ОКОПФ</w:t>
            </w:r>
          </w:p>
        </w:tc>
        <w:tc>
          <w:tcPr>
            <w:tcW w:w="23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Наименование закупаемой продукции/код ОКДП/ОКПД</w:t>
            </w:r>
          </w:p>
        </w:tc>
      </w:tr>
      <w:tr>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b/>
                <w:sz w:val="18"/>
                <w:szCs w:val="20"/>
                <w:lang w:val="en-US"/>
              </w:rPr>
            </w:pPr>
            <w:r>
              <w:rPr>
                <w:b/>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lang w:val="en-US"/>
              </w:rPr>
            </w:pPr>
            <w:r>
              <w:rPr>
                <w:b/>
                <w:sz w:val="18"/>
                <w:szCs w:val="20"/>
                <w:lang w:val="en-US"/>
              </w:rPr>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b/>
                <w:sz w:val="18"/>
                <w:szCs w:val="20"/>
                <w:lang w:val="en-US"/>
              </w:rPr>
            </w:pPr>
            <w:r>
              <w:rPr>
                <w:b/>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3</w:t>
            </w:r>
          </w:p>
        </w:tc>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5</w:t>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b/>
                <w:sz w:val="18"/>
                <w:szCs w:val="20"/>
              </w:rPr>
            </w:pPr>
            <w:r>
              <w:rPr>
                <w:b/>
                <w:sz w:val="18"/>
                <w:szCs w:val="20"/>
              </w:rPr>
              <w:t>6</w:t>
            </w:r>
          </w:p>
        </w:tc>
        <w:tc>
          <w:tcPr>
            <w:tcW w:w="23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7</w:t>
            </w:r>
          </w:p>
        </w:tc>
      </w:tr>
      <w:tr>
        <w:trPr/>
        <w:tc>
          <w:tcPr>
            <w:tcW w:w="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c>
          <w:tcPr>
            <w:tcW w:w="23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r>
    </w:tbl>
    <w:p>
      <w:pPr>
        <w:pStyle w:val="Normal"/>
        <w:spacing w:lineRule="auto" w:line="24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2738"/>
        <w:gridCol w:w="2018"/>
        <w:gridCol w:w="2017"/>
        <w:gridCol w:w="2448"/>
        <w:gridCol w:w="1441"/>
        <w:gridCol w:w="1440"/>
        <w:gridCol w:w="864"/>
        <w:gridCol w:w="2736"/>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заключения договора</w:t>
            </w:r>
          </w:p>
        </w:tc>
        <w:tc>
          <w:tcPr>
            <w:tcW w:w="24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Срок начала исполнения договора/срок окончания исполнения договора</w:t>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r>
          </w:p>
          <w:p>
            <w:pPr>
              <w:pStyle w:val="Normal"/>
              <w:widowControl w:val="false"/>
              <w:spacing w:lineRule="auto" w:line="240"/>
              <w:ind w:hanging="0"/>
              <w:jc w:val="center"/>
              <w:rPr>
                <w:sz w:val="18"/>
                <w:szCs w:val="20"/>
              </w:rPr>
            </w:pPr>
            <w:r>
              <w:rPr>
                <w:sz w:val="18"/>
                <w:szCs w:val="20"/>
              </w:rPr>
              <w:t>Стоимость договора (с</w:t>
            </w:r>
          </w:p>
          <w:p>
            <w:pPr>
              <w:pStyle w:val="Normal"/>
              <w:widowControl w:val="false"/>
              <w:spacing w:lineRule="auto" w:line="240"/>
              <w:ind w:hanging="0"/>
              <w:jc w:val="center"/>
              <w:rPr>
                <w:sz w:val="18"/>
                <w:szCs w:val="20"/>
              </w:rPr>
            </w:pPr>
            <w:r>
              <w:rPr>
                <w:sz w:val="18"/>
                <w:szCs w:val="20"/>
              </w:rPr>
              <w:t>НДС)</w:t>
            </w:r>
          </w:p>
          <w:p>
            <w:pPr>
              <w:pStyle w:val="Normal"/>
              <w:widowControl w:val="false"/>
              <w:spacing w:lineRule="auto" w:line="240"/>
              <w:ind w:hanging="0"/>
              <w:jc w:val="center"/>
              <w:rPr>
                <w:sz w:val="18"/>
                <w:szCs w:val="20"/>
              </w:rPr>
            </w:pPr>
            <w:r>
              <w:rPr>
                <w:sz w:val="18"/>
                <w:szCs w:val="20"/>
              </w:rPr>
            </w:r>
          </w:p>
        </w:tc>
        <w:tc>
          <w:tcPr>
            <w:tcW w:w="8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 xml:space="preserve">Валюта </w:t>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10</w:t>
            </w:r>
          </w:p>
        </w:tc>
        <w:tc>
          <w:tcPr>
            <w:tcW w:w="24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b/>
                <w:sz w:val="18"/>
                <w:szCs w:val="20"/>
              </w:rPr>
            </w:pPr>
            <w:r>
              <w:rPr>
                <w:b/>
                <w:sz w:val="18"/>
                <w:szCs w:val="20"/>
              </w:rPr>
              <w:t>11</w:t>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b/>
                <w:sz w:val="18"/>
                <w:szCs w:val="20"/>
              </w:rPr>
            </w:pPr>
            <w:r>
              <w:rPr>
                <w:b/>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b/>
                <w:sz w:val="18"/>
                <w:szCs w:val="20"/>
              </w:rPr>
            </w:pPr>
            <w:r>
              <w:rPr>
                <w:b/>
                <w:sz w:val="18"/>
                <w:szCs w:val="20"/>
              </w:rPr>
              <w:t>13</w:t>
            </w:r>
          </w:p>
        </w:tc>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right="113" w:hanging="0"/>
              <w:jc w:val="center"/>
              <w:rPr>
                <w:b/>
                <w:b/>
                <w:sz w:val="18"/>
                <w:szCs w:val="20"/>
              </w:rPr>
            </w:pPr>
            <w:r>
              <w:rPr>
                <w:b/>
                <w:sz w:val="18"/>
                <w:szCs w:val="20"/>
              </w:rPr>
              <w:t>14</w:t>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right="113" w:hanging="0"/>
              <w:jc w:val="center"/>
              <w:rPr>
                <w:b/>
                <w:b/>
                <w:sz w:val="18"/>
                <w:szCs w:val="20"/>
              </w:rPr>
            </w:pPr>
            <w:r>
              <w:rPr>
                <w:b/>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4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14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r>
    </w:tbl>
    <w:p>
      <w:pPr>
        <w:pStyle w:val="Normal"/>
        <w:widowControl w:val="false"/>
        <w:spacing w:lineRule="auto" w:line="240"/>
        <w:ind w:hanging="0"/>
        <w:jc w:val="left"/>
        <w:rPr>
          <w:color w:val="000000"/>
          <w:sz w:val="24"/>
          <w:szCs w:val="24"/>
        </w:rPr>
      </w:pPr>
      <w:r>
        <w:rPr>
          <w:color w:val="000000"/>
          <w:sz w:val="24"/>
          <w:szCs w:val="24"/>
        </w:rPr>
      </w:r>
    </w:p>
    <w:p>
      <w:pPr>
        <w:pStyle w:val="Normal"/>
        <w:widowControl w:val="false"/>
        <w:spacing w:lineRule="auto" w:line="240"/>
        <w:ind w:hanging="0"/>
        <w:jc w:val="left"/>
        <w:rPr>
          <w:color w:val="000000"/>
          <w:sz w:val="24"/>
          <w:szCs w:val="24"/>
        </w:rPr>
      </w:pPr>
      <w:r>
        <w:rPr>
          <w:color w:val="000000"/>
          <w:sz w:val="24"/>
          <w:szCs w:val="24"/>
        </w:rPr>
        <w:t>Генеральный директор ________________________________</w:t>
      </w:r>
    </w:p>
    <w:p>
      <w:pPr>
        <w:pStyle w:val="Normal"/>
        <w:widowControl w:val="false"/>
        <w:spacing w:lineRule="auto" w:line="240"/>
        <w:ind w:hanging="0"/>
        <w:jc w:val="left"/>
        <w:rPr>
          <w:sz w:val="24"/>
          <w:szCs w:val="24"/>
        </w:rPr>
      </w:pPr>
      <w:r>
        <w:rPr>
          <w:color w:val="000000"/>
          <w:sz w:val="24"/>
          <w:szCs w:val="24"/>
        </w:rPr>
        <w:t>Дата составления справки _________</w:t>
      </w:r>
      <w:r>
        <w:rPr>
          <w:sz w:val="24"/>
          <w:szCs w:val="24"/>
        </w:rPr>
        <w:t xml:space="preserve">     </w:t>
      </w:r>
    </w:p>
    <w:p>
      <w:pPr>
        <w:pStyle w:val="Normal"/>
        <w:spacing w:lineRule="auto" w:line="240"/>
        <w:ind w:hanging="0"/>
        <w:jc w:val="center"/>
        <w:rPr>
          <w:b/>
          <w:b/>
          <w:color w:val="000000"/>
          <w:spacing w:val="2"/>
          <w:highlight w:val="yellow"/>
        </w:rPr>
      </w:pPr>
      <w:r>
        <w:rPr>
          <w:b/>
          <w:color w:val="000000"/>
          <w:spacing w:val="2"/>
          <w:highlight w:val="yellow"/>
        </w:rPr>
      </w:r>
    </w:p>
    <w:tbl>
      <w:tblPr>
        <w:tblW w:w="1630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7513"/>
        <w:gridCol w:w="8788"/>
      </w:tblGrid>
      <w:tr>
        <w:trPr/>
        <w:tc>
          <w:tcPr>
            <w:tcW w:w="7513" w:type="dxa"/>
            <w:tcBorders/>
          </w:tcPr>
          <w:p>
            <w:pPr>
              <w:pStyle w:val="Normal"/>
              <w:widowControl w:val="false"/>
              <w:spacing w:lineRule="auto" w:line="240"/>
              <w:ind w:hanging="0"/>
              <w:rPr>
                <w:b/>
                <w:b/>
                <w:sz w:val="24"/>
              </w:rPr>
            </w:pPr>
            <w:r>
              <w:rPr>
                <w:b/>
                <w:sz w:val="24"/>
              </w:rPr>
              <w:t>Заказчик:</w:t>
            </w:r>
          </w:p>
        </w:tc>
        <w:tc>
          <w:tcPr>
            <w:tcW w:w="8788" w:type="dxa"/>
            <w:tcBorders/>
          </w:tcPr>
          <w:p>
            <w:pPr>
              <w:pStyle w:val="Normal"/>
              <w:widowControl w:val="false"/>
              <w:spacing w:lineRule="auto" w:line="240"/>
              <w:ind w:hanging="0"/>
              <w:rPr>
                <w:b/>
                <w:b/>
                <w:sz w:val="24"/>
              </w:rPr>
            </w:pPr>
            <w:r>
              <w:rPr>
                <w:b/>
                <w:sz w:val="24"/>
              </w:rPr>
              <w:t>Подрядчик:</w:t>
            </w:r>
          </w:p>
        </w:tc>
      </w:tr>
      <w:tr>
        <w:trPr/>
        <w:tc>
          <w:tcPr>
            <w:tcW w:w="7513"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8788"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13"/>
          <w:footerReference w:type="default" r:id="rId14"/>
          <w:footnotePr>
            <w:numFmt w:val="decimal"/>
          </w:footnotePr>
          <w:type w:val="nextPage"/>
          <w:pgSz w:orient="landscape" w:w="16838" w:h="11906"/>
          <w:pgMar w:left="567" w:right="567" w:gutter="0" w:header="567" w:top="1418" w:footer="284" w:bottom="567"/>
          <w:pgNumType w:fmt="decimal"/>
          <w:formProt w:val="false"/>
          <w:textDirection w:val="lrTb"/>
          <w:docGrid w:type="default" w:linePitch="360" w:charSpace="0"/>
        </w:sectPr>
        <w:pStyle w:val="Normal"/>
        <w:spacing w:lineRule="auto" w:line="240"/>
        <w:ind w:hanging="0"/>
        <w:rPr>
          <w:sz w:val="24"/>
          <w:szCs w:val="24"/>
        </w:r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Pr>
          <w:sz w:val="24"/>
          <w:szCs w:val="24"/>
        </w:rPr>
        <w:t xml:space="preserve">   </w:t>
      </w:r>
    </w:p>
    <w:p>
      <w:pPr>
        <w:pStyle w:val="Normal"/>
        <w:spacing w:lineRule="auto" w:line="240"/>
        <w:ind w:left="5103" w:hanging="0"/>
        <w:rPr>
          <w:sz w:val="22"/>
          <w:szCs w:val="22"/>
          <w:highlight w:val="lightGray"/>
        </w:rPr>
      </w:pPr>
      <w:r>
        <w:rPr>
          <w:sz w:val="22"/>
          <w:szCs w:val="22"/>
          <w:highlight w:val="lightGray"/>
        </w:rPr>
        <w:t>Приложение № 11</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b/>
          <w:sz w:val="24"/>
          <w:szCs w:val="24"/>
        </w:rPr>
      </w:pPr>
      <w:r>
        <w:rPr>
          <w:b/>
          <w:sz w:val="24"/>
          <w:szCs w:val="24"/>
        </w:rPr>
      </w:r>
    </w:p>
    <w:p>
      <w:pPr>
        <w:pStyle w:val="Normal"/>
        <w:snapToGrid w:val="false"/>
        <w:spacing w:lineRule="auto" w:line="240"/>
        <w:ind w:hanging="0"/>
        <w:jc w:val="center"/>
        <w:rPr>
          <w:b/>
          <w:b/>
          <w:sz w:val="24"/>
          <w:szCs w:val="24"/>
        </w:rPr>
      </w:pPr>
      <w:r>
        <w:rPr>
          <w:b/>
          <w:sz w:val="24"/>
          <w:szCs w:val="24"/>
        </w:rPr>
      </w:r>
    </w:p>
    <w:p>
      <w:pPr>
        <w:pStyle w:val="Normal"/>
        <w:snapToGrid w:val="false"/>
        <w:spacing w:lineRule="auto" w:line="240"/>
        <w:ind w:hanging="0"/>
        <w:jc w:val="center"/>
        <w:rPr>
          <w:b/>
          <w:b/>
          <w:sz w:val="24"/>
          <w:szCs w:val="24"/>
        </w:rPr>
      </w:pPr>
      <w:r>
        <w:rPr>
          <w:b/>
          <w:sz w:val="24"/>
          <w:szCs w:val="24"/>
        </w:rPr>
        <w:t>Перечень Оборудования Заказчика</w:t>
      </w:r>
    </w:p>
    <w:p>
      <w:pPr>
        <w:pStyle w:val="Normal"/>
        <w:snapToGrid w:val="false"/>
        <w:spacing w:lineRule="auto" w:line="240"/>
        <w:ind w:hanging="0"/>
        <w:jc w:val="center"/>
        <w:rPr>
          <w:b/>
          <w:b/>
          <w:sz w:val="24"/>
          <w:szCs w:val="24"/>
        </w:rPr>
      </w:pPr>
      <w:r>
        <w:rPr>
          <w:b/>
          <w:sz w:val="24"/>
          <w:szCs w:val="24"/>
        </w:rPr>
      </w:r>
    </w:p>
    <w:tbl>
      <w:tblPr>
        <w:tblW w:w="475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99"/>
        <w:gridCol w:w="2427"/>
        <w:gridCol w:w="1795"/>
        <w:gridCol w:w="2110"/>
        <w:gridCol w:w="1266"/>
        <w:gridCol w:w="1126"/>
      </w:tblGrid>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 xml:space="preserve">№ </w:t>
            </w:r>
            <w:r>
              <w:rPr>
                <w:bCs/>
                <w:color w:val="000000"/>
                <w:sz w:val="22"/>
                <w:szCs w:val="22"/>
              </w:rPr>
              <w:t>поз.</w:t>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Наименование Оборудования</w:t>
            </w:r>
          </w:p>
        </w:tc>
        <w:tc>
          <w:tcPr>
            <w:tcW w:w="17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Тип, марка</w:t>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Завод изготовитель</w:t>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Единица измерения</w:t>
            </w:r>
          </w:p>
        </w:tc>
        <w:tc>
          <w:tcPr>
            <w:tcW w:w="1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Количество</w:t>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4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9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12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color w:val="000000"/>
                <w:sz w:val="22"/>
                <w:szCs w:val="22"/>
              </w:rPr>
            </w:pPr>
            <w:r>
              <w:rPr>
                <w:color w:val="000000"/>
                <w:sz w:val="22"/>
                <w:szCs w:val="22"/>
              </w:rPr>
            </w:r>
          </w:p>
        </w:tc>
      </w:tr>
    </w:tbl>
    <w:p>
      <w:pPr>
        <w:pStyle w:val="Normal"/>
        <w:spacing w:lineRule="auto" w:line="240"/>
        <w:ind w:hanging="0"/>
        <w:rPr>
          <w:sz w:val="24"/>
          <w:szCs w:val="24"/>
        </w:rPr>
      </w:pPr>
      <w:r>
        <w:rPr>
          <w:sz w:val="24"/>
          <w:szCs w:val="24"/>
        </w:rPr>
      </w:r>
    </w:p>
    <w:tbl>
      <w:tblPr>
        <w:tblW w:w="9287"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643"/>
        <w:gridCol w:w="4643"/>
      </w:tblGrid>
      <w:tr>
        <w:trPr/>
        <w:tc>
          <w:tcPr>
            <w:tcW w:w="4643" w:type="dxa"/>
            <w:tcBorders/>
            <w:shd w:color="auto" w:fill="auto" w:val="clear"/>
          </w:tcPr>
          <w:p>
            <w:pPr>
              <w:pStyle w:val="Normal"/>
              <w:widowControl w:val="false"/>
              <w:spacing w:lineRule="auto" w:line="240"/>
              <w:ind w:hanging="0"/>
              <w:jc w:val="left"/>
              <w:rPr>
                <w:b/>
                <w:b/>
                <w:sz w:val="24"/>
                <w:szCs w:val="24"/>
              </w:rPr>
            </w:pPr>
            <w:r>
              <w:rPr>
                <w:b/>
                <w:sz w:val="24"/>
                <w:szCs w:val="24"/>
              </w:rPr>
              <w:t>Заказчик:</w:t>
            </w:r>
          </w:p>
        </w:tc>
        <w:tc>
          <w:tcPr>
            <w:tcW w:w="4643" w:type="dxa"/>
            <w:tcBorders/>
            <w:shd w:color="auto" w:fill="auto" w:val="clear"/>
          </w:tcPr>
          <w:p>
            <w:pPr>
              <w:pStyle w:val="Normal"/>
              <w:widowControl w:val="false"/>
              <w:spacing w:lineRule="auto" w:line="240"/>
              <w:ind w:hanging="0"/>
              <w:jc w:val="left"/>
              <w:rPr>
                <w:b/>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tabs>
          <w:tab w:val="clear" w:pos="708"/>
          <w:tab w:val="left" w:pos="4335" w:leader="none"/>
        </w:tabs>
        <w:rPr>
          <w:sz w:val="24"/>
          <w:szCs w:val="24"/>
        </w:rPr>
      </w:pPr>
      <w:r>
        <w:rPr>
          <w:sz w:val="24"/>
          <w:szCs w:val="24"/>
        </w:rPr>
        <w:tab/>
      </w:r>
    </w:p>
    <w:p>
      <w:pPr>
        <w:sectPr>
          <w:headerReference w:type="default" r:id="rId15"/>
          <w:footerReference w:type="default" r:id="rId16"/>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Style w:val="Normal"/>
        <w:tabs>
          <w:tab w:val="clear" w:pos="708"/>
          <w:tab w:val="left" w:pos="4335" w:leader="none"/>
        </w:tabs>
        <w:rPr>
          <w:sz w:val="24"/>
          <w:szCs w:val="24"/>
        </w:rPr>
      </w:pPr>
      <w:r>
        <w:rPr>
          <w:sz w:val="24"/>
          <w:szCs w:val="24"/>
        </w:rPr>
        <w:tab/>
      </w:r>
    </w:p>
    <w:p>
      <w:pPr>
        <w:pStyle w:val="Normal"/>
        <w:snapToGrid w:val="false"/>
        <w:spacing w:lineRule="auto" w:line="240"/>
        <w:ind w:firstLine="5103"/>
        <w:rPr>
          <w:sz w:val="22"/>
          <w:szCs w:val="22"/>
          <w:highlight w:val="lightGray"/>
        </w:rPr>
      </w:pPr>
      <w:r>
        <w:rPr>
          <w:sz w:val="22"/>
          <w:szCs w:val="22"/>
          <w:highlight w:val="lightGray"/>
        </w:rPr>
        <w:t>Приложение № 12</w:t>
      </w:r>
    </w:p>
    <w:p>
      <w:pPr>
        <w:pStyle w:val="Normal"/>
        <w:snapToGrid w:val="false"/>
        <w:spacing w:lineRule="auto" w:line="240"/>
        <w:ind w:firstLine="5103"/>
        <w:rPr>
          <w:sz w:val="22"/>
          <w:szCs w:val="22"/>
          <w:highlight w:val="lightGray"/>
        </w:rPr>
      </w:pPr>
      <w:r>
        <w:rPr>
          <w:sz w:val="22"/>
          <w:szCs w:val="22"/>
          <w:highlight w:val="lightGray"/>
        </w:rPr>
        <w:t>к Договору подряда</w:t>
      </w:r>
    </w:p>
    <w:p>
      <w:pPr>
        <w:pStyle w:val="Normal"/>
        <w:snapToGrid w:val="false"/>
        <w:spacing w:lineRule="auto" w:line="240"/>
        <w:ind w:firstLine="5103"/>
        <w:rPr>
          <w:sz w:val="22"/>
          <w:szCs w:val="22"/>
        </w:rPr>
      </w:pPr>
      <w:r>
        <w:rPr>
          <w:sz w:val="22"/>
          <w:szCs w:val="22"/>
          <w:highlight w:val="lightGray"/>
        </w:rPr>
        <w:t>от «____» __________ 20 _ г. № ____</w:t>
      </w:r>
    </w:p>
    <w:p>
      <w:pPr>
        <w:pStyle w:val="Normal"/>
        <w:spacing w:lineRule="auto" w:line="288"/>
        <w:rPr>
          <w:b/>
          <w:b/>
          <w:sz w:val="24"/>
          <w:szCs w:val="24"/>
        </w:rPr>
      </w:pPr>
      <w:r>
        <w:rPr>
          <w:b/>
          <w:sz w:val="24"/>
          <w:szCs w:val="24"/>
        </w:rPr>
      </w:r>
    </w:p>
    <w:p>
      <w:pPr>
        <w:pStyle w:val="Normal"/>
        <w:spacing w:lineRule="auto" w:line="288"/>
        <w:jc w:val="center"/>
        <w:rPr>
          <w:b/>
          <w:b/>
          <w:sz w:val="24"/>
          <w:szCs w:val="24"/>
        </w:rPr>
      </w:pPr>
      <w:r>
        <w:rPr>
          <w:b/>
          <w:sz w:val="24"/>
          <w:szCs w:val="24"/>
        </w:rPr>
        <w:t>Порядок передачи и учета Оборудования Заказчика</w:t>
      </w:r>
    </w:p>
    <w:p>
      <w:pPr>
        <w:pStyle w:val="Normal"/>
        <w:spacing w:lineRule="auto" w:line="240"/>
        <w:rPr>
          <w:b/>
          <w:b/>
          <w:sz w:val="24"/>
          <w:szCs w:val="24"/>
        </w:rPr>
      </w:pPr>
      <w:r>
        <w:rPr>
          <w:b/>
          <w:sz w:val="24"/>
          <w:szCs w:val="24"/>
        </w:rPr>
      </w:r>
    </w:p>
    <w:p>
      <w:pPr>
        <w:pStyle w:val="ListParagraph"/>
        <w:numPr>
          <w:ilvl w:val="0"/>
          <w:numId w:val="30"/>
        </w:numPr>
        <w:tabs>
          <w:tab w:val="clear" w:pos="708"/>
          <w:tab w:val="left" w:pos="1134" w:leader="none"/>
        </w:tabs>
        <w:ind w:left="0" w:firstLine="709"/>
        <w:jc w:val="both"/>
        <w:rPr>
          <w:sz w:val="22"/>
          <w:szCs w:val="22"/>
        </w:rPr>
      </w:pPr>
      <w:r>
        <w:rPr>
          <w:sz w:val="22"/>
          <w:szCs w:val="22"/>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5"/>
        </w:numPr>
        <w:tabs>
          <w:tab w:val="clear" w:pos="708"/>
          <w:tab w:val="left" w:pos="1418" w:leader="none"/>
        </w:tabs>
        <w:ind w:left="0" w:firstLine="709"/>
        <w:jc w:val="both"/>
        <w:rPr>
          <w:sz w:val="22"/>
          <w:szCs w:val="22"/>
        </w:rPr>
      </w:pPr>
      <w:r>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5"/>
        </w:numPr>
        <w:tabs>
          <w:tab w:val="clear" w:pos="708"/>
          <w:tab w:val="left" w:pos="1418" w:leader="none"/>
        </w:tabs>
        <w:ind w:left="0" w:firstLine="720"/>
        <w:jc w:val="both"/>
        <w:rPr>
          <w:sz w:val="22"/>
          <w:szCs w:val="22"/>
        </w:rPr>
      </w:pPr>
      <w:r>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5"/>
        </w:numPr>
        <w:tabs>
          <w:tab w:val="clear" w:pos="708"/>
          <w:tab w:val="left" w:pos="1418" w:leader="none"/>
        </w:tabs>
        <w:ind w:left="0" w:firstLine="709"/>
        <w:jc w:val="both"/>
        <w:rPr>
          <w:sz w:val="22"/>
          <w:szCs w:val="22"/>
        </w:rPr>
      </w:pPr>
      <w:r>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8"/>
        </w:numPr>
        <w:tabs>
          <w:tab w:val="clear" w:pos="708"/>
          <w:tab w:val="left" w:pos="1134" w:leader="none"/>
        </w:tabs>
        <w:ind w:left="0" w:firstLine="709"/>
        <w:jc w:val="both"/>
        <w:rPr>
          <w:sz w:val="22"/>
          <w:szCs w:val="22"/>
        </w:rPr>
      </w:pPr>
      <w:r>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2"/>
          <w:szCs w:val="22"/>
        </w:rPr>
        <w:t>КС-2)</w:t>
      </w:r>
      <w:r>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8"/>
        </w:numPr>
        <w:tabs>
          <w:tab w:val="clear" w:pos="708"/>
          <w:tab w:val="left" w:pos="1134" w:leader="none"/>
        </w:tabs>
        <w:ind w:left="0" w:firstLine="709"/>
        <w:jc w:val="both"/>
        <w:rPr>
          <w:sz w:val="22"/>
          <w:szCs w:val="22"/>
        </w:rPr>
      </w:pPr>
      <w:r>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8"/>
        </w:numPr>
        <w:tabs>
          <w:tab w:val="clear" w:pos="708"/>
          <w:tab w:val="left" w:pos="1134" w:leader="none"/>
        </w:tabs>
        <w:ind w:left="0" w:firstLine="709"/>
        <w:jc w:val="both"/>
        <w:rPr>
          <w:sz w:val="22"/>
          <w:szCs w:val="22"/>
        </w:rPr>
      </w:pPr>
      <w:r>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643"/>
        <w:gridCol w:w="4995"/>
      </w:tblGrid>
      <w:tr>
        <w:trPr/>
        <w:tc>
          <w:tcPr>
            <w:tcW w:w="4643" w:type="dxa"/>
            <w:tcBorders/>
            <w:shd w:color="auto" w:fill="auto" w:val="clear"/>
          </w:tcPr>
          <w:p>
            <w:pPr>
              <w:pStyle w:val="Normal"/>
              <w:widowControl w:val="false"/>
              <w:spacing w:lineRule="auto" w:line="240"/>
              <w:ind w:hanging="0"/>
              <w:jc w:val="left"/>
              <w:rPr>
                <w:b/>
                <w:b/>
                <w:sz w:val="24"/>
                <w:szCs w:val="24"/>
              </w:rPr>
            </w:pPr>
            <w:r>
              <w:rPr>
                <w:b/>
                <w:sz w:val="24"/>
                <w:szCs w:val="24"/>
              </w:rPr>
              <w:t>Заказчик:</w:t>
            </w:r>
          </w:p>
        </w:tc>
        <w:tc>
          <w:tcPr>
            <w:tcW w:w="4995" w:type="dxa"/>
            <w:tcBorders/>
            <w:shd w:color="auto" w:fill="auto" w:val="clear"/>
          </w:tcPr>
          <w:p>
            <w:pPr>
              <w:pStyle w:val="Normal"/>
              <w:widowControl w:val="false"/>
              <w:spacing w:lineRule="auto" w:line="240"/>
              <w:ind w:hanging="0"/>
              <w:jc w:val="left"/>
              <w:rPr>
                <w:b/>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5"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pacing w:lineRule="auto" w:line="240"/>
        <w:ind w:firstLine="5103"/>
        <w:jc w:val="left"/>
        <w:rPr>
          <w:sz w:val="22"/>
          <w:szCs w:val="22"/>
        </w:rPr>
      </w:pPr>
      <w:r>
        <w:rPr>
          <w:sz w:val="22"/>
          <w:szCs w:val="22"/>
        </w:rPr>
        <w:t xml:space="preserve">Приложение № 13 </w:t>
      </w:r>
    </w:p>
    <w:p>
      <w:pPr>
        <w:pStyle w:val="Normal"/>
        <w:spacing w:lineRule="auto" w:line="240"/>
        <w:ind w:firstLine="5103"/>
        <w:jc w:val="left"/>
        <w:rPr>
          <w:rFonts w:eastAsia="Calibri"/>
          <w:sz w:val="22"/>
          <w:szCs w:val="22"/>
          <w:lang w:eastAsia="en-US"/>
        </w:rPr>
      </w:pPr>
      <w:r>
        <w:rPr>
          <w:rFonts w:eastAsia="Calibri"/>
          <w:sz w:val="22"/>
          <w:szCs w:val="22"/>
          <w:lang w:eastAsia="en-US"/>
        </w:rPr>
        <w:t xml:space="preserve">к Договору подряда </w:t>
      </w:r>
    </w:p>
    <w:p>
      <w:pPr>
        <w:pStyle w:val="Normal"/>
        <w:spacing w:lineRule="auto" w:line="240"/>
        <w:ind w:firstLine="5103"/>
        <w:rPr>
          <w:sz w:val="24"/>
          <w:szCs w:val="24"/>
        </w:rPr>
      </w:pPr>
      <w:r>
        <w:rPr>
          <w:rFonts w:eastAsia="Calibri"/>
          <w:sz w:val="22"/>
          <w:szCs w:val="22"/>
          <w:lang w:eastAsia="en-US"/>
        </w:rPr>
        <w:t>от «____» __________ 20 _ г. № ____</w:t>
      </w:r>
    </w:p>
    <w:p>
      <w:pPr>
        <w:pStyle w:val="Normal"/>
        <w:spacing w:lineRule="auto" w:line="240"/>
        <w:ind w:firstLine="709"/>
        <w:jc w:val="right"/>
        <w:rPr>
          <w:sz w:val="24"/>
          <w:szCs w:val="24"/>
        </w:rPr>
      </w:pPr>
      <w:r>
        <w:rPr>
          <w:sz w:val="24"/>
          <w:szCs w:val="24"/>
        </w:rPr>
      </w:r>
    </w:p>
    <w:p>
      <w:pPr>
        <w:pStyle w:val="Normal"/>
        <w:spacing w:lineRule="auto" w:line="240"/>
        <w:ind w:firstLine="709"/>
        <w:jc w:val="right"/>
        <w:rPr>
          <w:sz w:val="24"/>
          <w:szCs w:val="24"/>
        </w:rPr>
      </w:pPr>
      <w:r>
        <w:rPr>
          <w:sz w:val="24"/>
          <w:szCs w:val="24"/>
        </w:rPr>
      </w:r>
    </w:p>
    <w:p>
      <w:pPr>
        <w:pStyle w:val="Normal"/>
        <w:tabs>
          <w:tab w:val="clear" w:pos="708"/>
          <w:tab w:val="left" w:pos="1134" w:leader="none"/>
        </w:tabs>
        <w:spacing w:lineRule="auto" w:line="240"/>
        <w:ind w:hanging="0"/>
        <w:jc w:val="center"/>
        <w:rPr>
          <w:b/>
          <w:b/>
          <w:sz w:val="24"/>
          <w:szCs w:val="24"/>
        </w:rPr>
      </w:pPr>
      <w:r>
        <w:rPr>
          <w:b/>
          <w:sz w:val="24"/>
          <w:szCs w:val="24"/>
        </w:rPr>
        <w:t>Критерии отбора Банков-Гарантов</w:t>
      </w:r>
    </w:p>
    <w:p>
      <w:pPr>
        <w:pStyle w:val="Normal"/>
        <w:tabs>
          <w:tab w:val="clear" w:pos="708"/>
          <w:tab w:val="left" w:pos="1134" w:leader="none"/>
        </w:tabs>
        <w:spacing w:lineRule="auto" w:line="240"/>
        <w:ind w:hanging="0"/>
        <w:jc w:val="center"/>
        <w:rPr>
          <w:b/>
          <w:b/>
          <w:sz w:val="24"/>
          <w:szCs w:val="24"/>
        </w:rPr>
      </w:pPr>
      <w:r>
        <w:rPr>
          <w:b/>
          <w:sz w:val="24"/>
          <w:szCs w:val="24"/>
        </w:rPr>
      </w:r>
    </w:p>
    <w:p>
      <w:pPr>
        <w:pStyle w:val="Normal"/>
        <w:spacing w:lineRule="auto" w:line="240"/>
        <w:ind w:firstLine="709"/>
        <w:rPr>
          <w:rFonts w:eastAsia="TimesNewRomanPS-BoldMT"/>
          <w:sz w:val="24"/>
          <w:szCs w:val="24"/>
        </w:rPr>
      </w:pPr>
      <w:r>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Style11"/>
          <w:rFonts w:eastAsia="TimesNewRomanPS-BoldMT"/>
          <w:sz w:val="24"/>
          <w:szCs w:val="24"/>
        </w:rPr>
        <w:footnoteReference w:id="15"/>
      </w:r>
      <w:r>
        <w:rPr>
          <w:rFonts w:eastAsia="TimesNewRomanPS-BoldMT"/>
          <w:sz w:val="24"/>
          <w:szCs w:val="24"/>
        </w:rPr>
        <w:t>, а также соответствовать следующим критериям:</w:t>
      </w:r>
    </w:p>
    <w:p>
      <w:pPr>
        <w:pStyle w:val="2"/>
        <w:widowControl w:val="false"/>
        <w:numPr>
          <w:ilvl w:val="0"/>
          <w:numId w:val="29"/>
        </w:numPr>
        <w:spacing w:lineRule="auto" w:line="240" w:before="0" w:after="0"/>
        <w:ind w:left="0" w:firstLine="709"/>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Characters"/>
          <w:rFonts w:eastAsia="TimesNewRomanPS-BoldMT" w:ascii="Times New Roman" w:hAnsi="Times New Roman"/>
          <w:i w:val="false"/>
          <w:sz w:val="24"/>
          <w:szCs w:val="24"/>
          <w:lang w:eastAsia="en-US"/>
        </w:rPr>
        <w:t xml:space="preserve"> </w:t>
      </w:r>
      <w:r>
        <w:rPr>
          <w:rStyle w:val="Style11"/>
          <w:rFonts w:eastAsia="TimesNewRomanPS-BoldMT" w:ascii="Times New Roman" w:hAnsi="Times New Roman"/>
          <w:b w:val="false"/>
          <w:i w:val="false"/>
          <w:sz w:val="24"/>
          <w:szCs w:val="24"/>
          <w:lang w:eastAsia="en-US"/>
        </w:rPr>
        <w:footnoteReference w:id="16"/>
      </w:r>
      <w:r>
        <w:rPr>
          <w:rFonts w:eastAsia="TimesNewRomanPS-BoldMT" w:ascii="Times New Roman" w:hAnsi="Times New Roman"/>
          <w:b w:val="false"/>
          <w:bCs w:val="false"/>
          <w:i w:val="false"/>
          <w:iCs w:val="false"/>
          <w:sz w:val="24"/>
          <w:szCs w:val="24"/>
          <w:lang w:eastAsia="en-US"/>
        </w:rPr>
        <w:t>.</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Characters"/>
          <w:rFonts w:eastAsia="TimesNewRomanPS-BoldMT" w:ascii="Times New Roman" w:hAnsi="Times New Roman"/>
          <w:b w:val="false"/>
          <w:i w:val="false"/>
          <w:sz w:val="24"/>
          <w:szCs w:val="24"/>
          <w:lang w:eastAsia="en-US"/>
        </w:rPr>
        <w:t xml:space="preserve"> </w:t>
      </w:r>
      <w:r>
        <w:rPr>
          <w:rStyle w:val="Style11"/>
          <w:rFonts w:eastAsia="TimesNewRomanPS-BoldMT" w:ascii="Times New Roman" w:hAnsi="Times New Roman"/>
          <w:b w:val="false"/>
          <w:i w:val="false"/>
          <w:sz w:val="24"/>
          <w:szCs w:val="24"/>
          <w:lang w:eastAsia="en-US"/>
        </w:rPr>
        <w:footnoteReference w:id="17"/>
      </w:r>
      <w:r>
        <w:rPr>
          <w:rFonts w:eastAsia="TimesNewRomanPS-BoldMT" w:ascii="Times New Roman" w:hAnsi="Times New Roman"/>
          <w:b w:val="false"/>
          <w:bCs w:val="false"/>
          <w:i w:val="false"/>
          <w:iCs w:val="false"/>
          <w:sz w:val="24"/>
          <w:szCs w:val="24"/>
          <w:lang w:eastAsia="en-US"/>
        </w:rPr>
        <w:t>.</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7. Не иметь просроченную задолженность перед Обществом и компаниями Группы РусГидро.</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 Требования, установленные пунктами 2 – 4 настоящих Критериев, не распространяются на кредитные организации:</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8.4. ВЭБ.РФ.</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2"/>
        <w:widowControl w:val="false"/>
        <w:spacing w:lineRule="auto" w:line="240" w:before="0" w:after="0"/>
        <w:jc w:val="center"/>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LimAi = ri × СKi,</w:t>
      </w:r>
      <w:r>
        <w:rPr>
          <w:rFonts w:eastAsia="TimesNewRomanPS-BoldMT" w:ascii="Times New Roman" w:hAnsi="Times New Roman"/>
          <w:b w:val="false"/>
          <w:bCs w:val="false"/>
          <w:i w:val="false"/>
          <w:iCs w:val="false"/>
          <w:sz w:val="24"/>
          <w:szCs w:val="24"/>
          <w:lang w:eastAsia="en-US"/>
        </w:rPr>
        <w:t xml:space="preserve"> где</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LimAi</w:t>
      </w:r>
      <w:r>
        <w:rPr>
          <w:rFonts w:eastAsia="TimesNewRomanPS-BoldMT" w:ascii="Times New Roman" w:hAnsi="Times New Roman"/>
          <w:b w:val="false"/>
          <w:bCs w:val="false"/>
          <w:i w:val="false"/>
          <w:iCs w:val="false"/>
          <w:sz w:val="24"/>
          <w:szCs w:val="24"/>
          <w:lang w:eastAsia="en-US"/>
        </w:rPr>
        <w:t xml:space="preserve"> - Лимит риска для i-ой кредитной организации</w:t>
      </w:r>
      <w:r>
        <w:rPr>
          <w:rStyle w:val="Style11"/>
          <w:rFonts w:eastAsia="TimesNewRomanPS-BoldMT" w:ascii="Times New Roman" w:hAnsi="Times New Roman"/>
          <w:b w:val="false"/>
          <w:i w:val="false"/>
          <w:sz w:val="24"/>
          <w:szCs w:val="24"/>
          <w:lang w:eastAsia="en-US"/>
        </w:rPr>
        <w:footnoteReference w:id="18"/>
      </w:r>
      <w:r>
        <w:rPr>
          <w:rFonts w:eastAsia="TimesNewRomanPS-BoldMT" w:ascii="Times New Roman" w:hAnsi="Times New Roman"/>
          <w:b w:val="false"/>
          <w:bCs w:val="false"/>
          <w:i w:val="false"/>
          <w:iCs w:val="false"/>
          <w:sz w:val="24"/>
          <w:szCs w:val="24"/>
          <w:lang w:eastAsia="en-US"/>
        </w:rPr>
        <w:t>.</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СKi</w:t>
      </w:r>
      <w:r>
        <w:rPr>
          <w:rFonts w:eastAsia="TimesNewRomanPS-BoldMT" w:ascii="Times New Roman" w:hAnsi="Times New Roman"/>
          <w:b w:val="false"/>
          <w:bCs w:val="false"/>
          <w:i w:val="false"/>
          <w:iCs w:val="false"/>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 xml:space="preserve">ri </w:t>
      </w:r>
      <w:r>
        <w:rPr>
          <w:rFonts w:eastAsia="TimesNewRomanPS-BoldMT" w:ascii="Times New Roman" w:hAnsi="Times New Roman"/>
          <w:b w:val="false"/>
          <w:bCs w:val="false"/>
          <w:i w:val="false"/>
          <w:iCs w:val="false"/>
          <w:sz w:val="24"/>
          <w:szCs w:val="24"/>
          <w:lang w:eastAsia="en-US"/>
        </w:rPr>
        <w:t>- рейтинговый коэффициент</w:t>
      </w:r>
      <w:r>
        <w:rPr>
          <w:rStyle w:val="Style11"/>
          <w:rFonts w:eastAsia="TimesNewRomanPS-BoldMT" w:ascii="Times New Roman" w:hAnsi="Times New Roman"/>
          <w:b w:val="false"/>
          <w:i w:val="false"/>
          <w:sz w:val="24"/>
          <w:szCs w:val="24"/>
          <w:lang w:eastAsia="en-US"/>
        </w:rPr>
        <w:footnoteReference w:id="19"/>
      </w:r>
      <w:r>
        <w:rPr>
          <w:rFonts w:eastAsia="TimesNewRomanPS-BoldMT" w:ascii="Times New Roman" w:hAnsi="Times New Roman"/>
          <w:b w:val="false"/>
          <w:bCs w:val="false"/>
          <w:i w:val="false"/>
          <w:iCs w:val="false"/>
          <w:sz w:val="24"/>
          <w:szCs w:val="24"/>
          <w:lang w:eastAsia="en-US"/>
        </w:rPr>
        <w:t xml:space="preserve"> для i-ой кредитной организации, равный:</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АА-</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0,025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А-</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0,015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BBВ</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pPr>
        <w:pStyle w:val="Normal"/>
        <w:keepNext w:val="true"/>
        <w:keepLines/>
        <w:tabs>
          <w:tab w:val="clear" w:pos="708"/>
          <w:tab w:val="left" w:pos="3360" w:leader="none"/>
        </w:tabs>
        <w:spacing w:lineRule="auto" w:line="240"/>
        <w:jc w:val="center"/>
        <w:rPr>
          <w:b/>
          <w:b/>
          <w:sz w:val="24"/>
          <w:szCs w:val="24"/>
        </w:rPr>
      </w:pPr>
      <w:r>
        <w:rPr>
          <w:b/>
          <w:sz w:val="24"/>
          <w:szCs w:val="24"/>
        </w:rPr>
        <w:t>Подписи Сторон:</w:t>
      </w:r>
    </w:p>
    <w:p>
      <w:pPr>
        <w:pStyle w:val="Normal"/>
        <w:keepNext w:val="true"/>
        <w:keepLines/>
        <w:tabs>
          <w:tab w:val="clear" w:pos="708"/>
          <w:tab w:val="left" w:pos="3360" w:leader="none"/>
        </w:tabs>
        <w:spacing w:lineRule="auto" w:line="240"/>
        <w:rPr>
          <w:sz w:val="24"/>
          <w:szCs w:val="24"/>
        </w:rPr>
      </w:pPr>
      <w:r>
        <w:rPr/>
      </w:r>
    </w:p>
    <w:p>
      <w:pPr>
        <w:pStyle w:val="Normal"/>
        <w:keepNext w:val="true"/>
        <w:keepLines/>
        <w:tabs>
          <w:tab w:val="clear" w:pos="708"/>
          <w:tab w:val="left" w:pos="3360" w:leader="none"/>
        </w:tabs>
        <w:spacing w:lineRule="auto" w:line="240"/>
        <w:rPr>
          <w:sz w:val="24"/>
          <w:szCs w:val="24"/>
        </w:rPr>
      </w:pPr>
      <w:r>
        <w:rPr/>
      </w:r>
      <w:r>
        <w:br w:type="page"/>
      </w:r>
    </w:p>
    <w:p>
      <w:pPr>
        <w:pStyle w:val="Normal"/>
        <w:spacing w:lineRule="auto" w:line="240"/>
        <w:ind w:left="5103" w:hanging="0"/>
        <w:rPr>
          <w:sz w:val="22"/>
          <w:szCs w:val="22"/>
          <w:highlight w:val="lightGray"/>
        </w:rPr>
      </w:pPr>
      <w:r>
        <w:rPr>
          <w:sz w:val="22"/>
          <w:szCs w:val="22"/>
          <w:highlight w:val="lightGray"/>
        </w:rPr>
        <w:t>Приложение № 14</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b/>
          <w:sz w:val="24"/>
          <w:szCs w:val="24"/>
        </w:rPr>
      </w:pPr>
      <w:r>
        <w:rPr>
          <w:b/>
          <w:sz w:val="24"/>
          <w:szCs w:val="24"/>
        </w:rPr>
      </w:r>
    </w:p>
    <w:p>
      <w:pPr>
        <w:pStyle w:val="Normal"/>
        <w:spacing w:lineRule="auto" w:line="240"/>
        <w:jc w:val="center"/>
        <w:rPr>
          <w:b/>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b/>
          <w:sz w:val="24"/>
          <w:szCs w:val="24"/>
        </w:rPr>
      </w:pPr>
      <w:r>
        <w:rPr>
          <w:b/>
          <w:sz w:val="24"/>
          <w:szCs w:val="24"/>
        </w:rPr>
      </w:r>
    </w:p>
    <w:p>
      <w:pPr>
        <w:pStyle w:val="ListParagraph"/>
        <w:numPr>
          <w:ilvl w:val="0"/>
          <w:numId w:val="31"/>
        </w:numPr>
        <w:tabs>
          <w:tab w:val="clear" w:pos="708"/>
          <w:tab w:val="left" w:pos="284" w:leader="none"/>
        </w:tabs>
        <w:ind w:left="0" w:hanging="0"/>
        <w:jc w:val="center"/>
        <w:rPr>
          <w:b/>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32"/>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7"/>
        </w:numPr>
        <w:snapToGrid w:val="false"/>
        <w:spacing w:lineRule="auto" w:line="240"/>
        <w:ind w:left="0" w:firstLine="709"/>
        <w:rPr>
          <w:sz w:val="24"/>
          <w:szCs w:val="24"/>
        </w:rPr>
      </w:pPr>
      <w:r>
        <w:rPr>
          <w:sz w:val="24"/>
          <w:szCs w:val="24"/>
        </w:rPr>
        <w:t>Коммунальные ресурсы:</w:t>
      </w:r>
    </w:p>
    <w:p>
      <w:pPr>
        <w:pStyle w:val="Normal"/>
        <w:numPr>
          <w:ilvl w:val="1"/>
          <w:numId w:val="27"/>
        </w:numPr>
        <w:snapToGrid w:val="false"/>
        <w:spacing w:lineRule="auto" w:line="240"/>
        <w:ind w:left="0" w:firstLine="709"/>
        <w:rPr>
          <w:sz w:val="24"/>
          <w:szCs w:val="24"/>
        </w:rPr>
      </w:pPr>
      <w:r>
        <w:rPr>
          <w:sz w:val="24"/>
          <w:szCs w:val="24"/>
        </w:rPr>
        <w:t>Электроэнергия.</w:t>
      </w:r>
    </w:p>
    <w:p>
      <w:pPr>
        <w:pStyle w:val="Normal"/>
        <w:numPr>
          <w:ilvl w:val="1"/>
          <w:numId w:val="27"/>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27"/>
        </w:numPr>
        <w:snapToGrid w:val="false"/>
        <w:spacing w:lineRule="auto" w:line="240"/>
        <w:ind w:left="0" w:firstLine="709"/>
        <w:rPr>
          <w:sz w:val="24"/>
          <w:szCs w:val="24"/>
        </w:rPr>
      </w:pPr>
      <w:r>
        <w:rPr>
          <w:sz w:val="24"/>
          <w:szCs w:val="24"/>
        </w:rPr>
        <w:t>Сжатый воздух.</w:t>
      </w:r>
    </w:p>
    <w:p>
      <w:pPr>
        <w:pStyle w:val="Normal"/>
        <w:numPr>
          <w:ilvl w:val="0"/>
          <w:numId w:val="27"/>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27"/>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27"/>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27"/>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27"/>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27"/>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27"/>
        </w:numPr>
        <w:snapToGrid w:val="false"/>
        <w:spacing w:lineRule="auto" w:line="240"/>
        <w:ind w:left="0" w:firstLine="709"/>
        <w:rPr>
          <w:sz w:val="24"/>
          <w:szCs w:val="24"/>
        </w:rPr>
      </w:pPr>
      <w:r>
        <w:rPr>
          <w:sz w:val="24"/>
          <w:szCs w:val="24"/>
        </w:rPr>
        <w:t>Предоставление помещений:</w:t>
      </w:r>
    </w:p>
    <w:p>
      <w:pPr>
        <w:pStyle w:val="Normal"/>
        <w:numPr>
          <w:ilvl w:val="1"/>
          <w:numId w:val="27"/>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27"/>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6"/>
        </w:numPr>
        <w:tabs>
          <w:tab w:val="clear" w:pos="708"/>
          <w:tab w:val="left" w:pos="284" w:leader="none"/>
          <w:tab w:val="left" w:pos="1418" w:leader="none"/>
        </w:tabs>
        <w:ind w:left="0" w:hanging="0"/>
        <w:jc w:val="center"/>
        <w:rPr>
          <w:b/>
          <w:b/>
        </w:rPr>
      </w:pPr>
      <w:r>
        <w:rPr>
          <w:b/>
        </w:rPr>
        <w:t>Порядок предоставления ресурсов и услуг</w:t>
      </w:r>
    </w:p>
    <w:p>
      <w:pPr>
        <w:pStyle w:val="ListParagraph"/>
        <w:numPr>
          <w:ilvl w:val="0"/>
          <w:numId w:val="33"/>
        </w:numPr>
        <w:tabs>
          <w:tab w:val="clear" w:pos="708"/>
          <w:tab w:val="left" w:pos="1134" w:leader="none"/>
          <w:tab w:val="left" w:pos="1418" w:leader="none"/>
        </w:tabs>
        <w:spacing w:before="0" w:after="120"/>
        <w:ind w:left="0" w:firstLine="709"/>
        <w:contextualSpacing/>
        <w:jc w:val="both"/>
        <w:rPr>
          <w:b/>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8"/>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8"/>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8"/>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8"/>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8"/>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8"/>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8"/>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69"/>
        <w:gridCol w:w="5023"/>
        <w:gridCol w:w="5025"/>
      </w:tblGrid>
      <w:tr>
        <w:trPr>
          <w:trHeight w:val="221" w:hRule="atLeast"/>
        </w:trPr>
        <w:tc>
          <w:tcPr>
            <w:tcW w:w="4669" w:type="dxa"/>
            <w:tcBorders/>
          </w:tcPr>
          <w:p>
            <w:pPr>
              <w:pStyle w:val="Normal"/>
              <w:widowControl w:val="false"/>
              <w:spacing w:lineRule="auto" w:line="240"/>
              <w:ind w:hanging="0"/>
              <w:jc w:val="left"/>
              <w:rPr>
                <w:b/>
                <w:b/>
                <w:sz w:val="24"/>
                <w:szCs w:val="24"/>
                <w:lang w:eastAsia="en-US"/>
              </w:rPr>
            </w:pPr>
            <w:r>
              <w:rPr>
                <w:b/>
                <w:sz w:val="24"/>
                <w:szCs w:val="24"/>
                <w:lang w:eastAsia="en-US"/>
              </w:rPr>
              <w:t>Заказчик:</w:t>
            </w:r>
          </w:p>
          <w:p>
            <w:pPr>
              <w:pStyle w:val="Normal"/>
              <w:widowControl w:val="false"/>
              <w:spacing w:lineRule="auto" w:line="240"/>
              <w:ind w:hanging="0"/>
              <w:jc w:val="left"/>
              <w:rPr>
                <w:b/>
                <w:b/>
                <w:sz w:val="24"/>
                <w:szCs w:val="24"/>
                <w:lang w:eastAsia="en-US"/>
              </w:rPr>
            </w:pPr>
            <w:r>
              <w:rPr>
                <w:b/>
                <w:sz w:val="24"/>
                <w:szCs w:val="24"/>
                <w:lang w:eastAsia="en-US"/>
              </w:rPr>
            </w:r>
          </w:p>
        </w:tc>
        <w:tc>
          <w:tcPr>
            <w:tcW w:w="5023" w:type="dxa"/>
            <w:tcBorders/>
          </w:tcPr>
          <w:p>
            <w:pPr>
              <w:pStyle w:val="Normal"/>
              <w:widowControl w:val="false"/>
              <w:spacing w:lineRule="auto" w:line="240"/>
              <w:ind w:hanging="0"/>
              <w:jc w:val="left"/>
              <w:rPr>
                <w:b/>
                <w:b/>
                <w:sz w:val="24"/>
                <w:szCs w:val="24"/>
                <w:lang w:eastAsia="en-US"/>
              </w:rPr>
            </w:pPr>
            <w:r>
              <w:rPr>
                <w:b/>
                <w:sz w:val="24"/>
                <w:szCs w:val="24"/>
                <w:lang w:eastAsia="en-US"/>
              </w:rPr>
              <w:t>Подрядчик:</w:t>
            </w:r>
          </w:p>
        </w:tc>
        <w:tc>
          <w:tcPr>
            <w:tcW w:w="5025" w:type="dxa"/>
            <w:tcBorders/>
          </w:tcPr>
          <w:p>
            <w:pPr>
              <w:pStyle w:val="Normal"/>
              <w:widowControl w:val="false"/>
              <w:spacing w:lineRule="auto" w:line="240"/>
              <w:ind w:hanging="0"/>
              <w:jc w:val="left"/>
              <w:rPr>
                <w:b/>
                <w:b/>
                <w:sz w:val="24"/>
                <w:szCs w:val="24"/>
                <w:lang w:eastAsia="en-US"/>
              </w:rPr>
            </w:pPr>
            <w:r>
              <w:rPr>
                <w:b/>
                <w:sz w:val="24"/>
                <w:szCs w:val="24"/>
                <w:lang w:eastAsia="en-US"/>
              </w:rPr>
            </w:r>
          </w:p>
        </w:tc>
      </w:tr>
      <w:tr>
        <w:trPr>
          <w:trHeight w:val="377" w:hRule="atLeast"/>
        </w:trPr>
        <w:tc>
          <w:tcPr>
            <w:tcW w:w="4669" w:type="dxa"/>
            <w:tcBorders/>
          </w:tcPr>
          <w:p>
            <w:pPr>
              <w:pStyle w:val="Normal"/>
              <w:widowControl w:val="false"/>
              <w:spacing w:lineRule="auto" w:line="240"/>
              <w:ind w:hanging="0"/>
              <w:jc w:val="left"/>
              <w:rPr>
                <w:sz w:val="24"/>
                <w:szCs w:val="24"/>
                <w:lang w:eastAsia="en-US"/>
              </w:rPr>
            </w:pPr>
            <w:r>
              <w:rPr>
                <w:sz w:val="24"/>
                <w:szCs w:val="24"/>
                <w:lang w:eastAsia="en-US"/>
              </w:rPr>
              <w:t xml:space="preserve">______________ / _______________ </w:t>
            </w:r>
          </w:p>
          <w:p>
            <w:pPr>
              <w:pStyle w:val="Normal"/>
              <w:widowControl w:val="false"/>
              <w:spacing w:lineRule="auto" w:line="240"/>
              <w:ind w:hanging="0"/>
              <w:jc w:val="left"/>
              <w:rPr>
                <w:sz w:val="24"/>
                <w:szCs w:val="24"/>
                <w:lang w:eastAsia="en-US"/>
              </w:rPr>
            </w:pPr>
            <w:r>
              <w:rPr>
                <w:sz w:val="24"/>
                <w:szCs w:val="24"/>
                <w:lang w:eastAsia="en-US"/>
              </w:rPr>
            </w:r>
          </w:p>
        </w:tc>
        <w:tc>
          <w:tcPr>
            <w:tcW w:w="5023" w:type="dxa"/>
            <w:tcBorders/>
          </w:tcPr>
          <w:p>
            <w:pPr>
              <w:pStyle w:val="Normal"/>
              <w:widowControl w:val="false"/>
              <w:spacing w:lineRule="auto" w:line="240"/>
              <w:ind w:hanging="0"/>
              <w:jc w:val="left"/>
              <w:rPr>
                <w:sz w:val="24"/>
                <w:szCs w:val="24"/>
                <w:lang w:eastAsia="en-US"/>
              </w:rPr>
            </w:pPr>
            <w:r>
              <w:rPr>
                <w:sz w:val="24"/>
                <w:szCs w:val="24"/>
                <w:lang w:eastAsia="en-US"/>
              </w:rPr>
              <w:t>_______________ / __________</w:t>
            </w:r>
          </w:p>
        </w:tc>
        <w:tc>
          <w:tcPr>
            <w:tcW w:w="5025" w:type="dxa"/>
            <w:tcBorders/>
          </w:tcPr>
          <w:p>
            <w:pPr>
              <w:pStyle w:val="Normal"/>
              <w:widowControl w:val="false"/>
              <w:spacing w:lineRule="auto" w:line="240"/>
              <w:ind w:hanging="0"/>
              <w:jc w:val="left"/>
              <w:rPr>
                <w:sz w:val="24"/>
                <w:szCs w:val="24"/>
                <w:lang w:eastAsia="en-US"/>
              </w:rPr>
            </w:pPr>
            <w:r>
              <w:rPr>
                <w:sz w:val="24"/>
                <w:szCs w:val="24"/>
                <w:lang w:eastAsia="en-US"/>
              </w:rPr>
            </w:r>
          </w:p>
        </w:tc>
      </w:tr>
    </w:tbl>
    <w:p>
      <w:pPr>
        <w:pStyle w:val="Normal"/>
        <w:spacing w:lineRule="auto" w:line="240"/>
        <w:rPr>
          <w:sz w:val="24"/>
          <w:szCs w:val="24"/>
        </w:rPr>
      </w:pPr>
      <w:r>
        <w:rPr/>
      </w:r>
    </w:p>
    <w:p>
      <w:pPr>
        <w:pStyle w:val="Normal"/>
        <w:spacing w:lineRule="auto" w:line="240"/>
        <w:ind w:left="5103" w:hanging="0"/>
        <w:rPr>
          <w:sz w:val="24"/>
          <w:szCs w:val="24"/>
        </w:rPr>
      </w:pPr>
      <w:r>
        <w:rPr>
          <w:sz w:val="24"/>
          <w:szCs w:val="24"/>
        </w:rPr>
      </w:r>
    </w:p>
    <w:p>
      <w:pPr>
        <w:pStyle w:val="Normal"/>
        <w:rPr>
          <w:sz w:val="24"/>
          <w:szCs w:val="24"/>
        </w:rPr>
      </w:pPr>
      <w:r>
        <w:rPr/>
      </w:r>
    </w:p>
    <w:p>
      <w:pPr>
        <w:pStyle w:val="Normal"/>
        <w:rPr>
          <w:sz w:val="24"/>
          <w:szCs w:val="24"/>
        </w:rPr>
      </w:pPr>
      <w:r>
        <w:rPr/>
      </w:r>
    </w:p>
    <w:p>
      <w:pPr>
        <w:pStyle w:val="Normal"/>
        <w:spacing w:lineRule="auto" w:line="240"/>
        <w:jc w:val="right"/>
        <w:rPr>
          <w:sz w:val="22"/>
          <w:szCs w:val="22"/>
        </w:rPr>
      </w:pPr>
      <w:r>
        <w:rPr>
          <w:sz w:val="22"/>
          <w:szCs w:val="22"/>
        </w:rPr>
        <w:t>Приложение № 15</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_________ от ______.______.20__</w:t>
      </w:r>
    </w:p>
    <w:p>
      <w:pPr>
        <w:pStyle w:val="Normal"/>
        <w:spacing w:lineRule="auto" w:line="240"/>
        <w:rPr>
          <w:sz w:val="22"/>
          <w:szCs w:val="22"/>
        </w:rPr>
      </w:pPr>
      <w:r>
        <w:rPr>
          <w:sz w:val="22"/>
          <w:szCs w:val="22"/>
        </w:rPr>
      </w:r>
    </w:p>
    <w:p>
      <w:pPr>
        <w:pStyle w:val="Normal"/>
        <w:spacing w:lineRule="auto" w:line="240"/>
        <w:jc w:val="center"/>
        <w:rPr>
          <w:b/>
          <w:b/>
          <w:sz w:val="22"/>
          <w:szCs w:val="22"/>
        </w:rPr>
      </w:pPr>
      <w:r>
        <w:rPr>
          <w:b/>
          <w:sz w:val="22"/>
          <w:szCs w:val="22"/>
        </w:rPr>
        <w:t>ПОРЯДОК</w:t>
      </w:r>
    </w:p>
    <w:p>
      <w:pPr>
        <w:pStyle w:val="Normal"/>
        <w:spacing w:lineRule="auto" w:line="240"/>
        <w:jc w:val="center"/>
        <w:rPr>
          <w:b/>
          <w:b/>
          <w:sz w:val="22"/>
          <w:szCs w:val="22"/>
        </w:rPr>
      </w:pPr>
      <w:r>
        <w:rPr>
          <w:b/>
          <w:sz w:val="22"/>
          <w:szCs w:val="22"/>
        </w:rPr>
        <w:t>учета, хранения и передачи материалов,</w:t>
      </w:r>
    </w:p>
    <w:p>
      <w:pPr>
        <w:pStyle w:val="Normal"/>
        <w:spacing w:lineRule="auto" w:line="240"/>
        <w:jc w:val="center"/>
        <w:rPr>
          <w:b/>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b/>
          <w:sz w:val="22"/>
          <w:szCs w:val="22"/>
        </w:rPr>
      </w:pPr>
      <w:r>
        <w:rPr>
          <w:b/>
          <w:sz w:val="22"/>
          <w:szCs w:val="22"/>
        </w:rPr>
        <w:t>при исполнении Подрядчиком работ по договору</w:t>
      </w:r>
    </w:p>
    <w:p>
      <w:pPr>
        <w:pStyle w:val="Normal"/>
        <w:tabs>
          <w:tab w:val="clear" w:pos="708"/>
          <w:tab w:val="left" w:pos="1134" w:leader="none"/>
        </w:tabs>
        <w:spacing w:lineRule="auto" w:line="240"/>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Style11"/>
          <w:sz w:val="22"/>
          <w:szCs w:val="22"/>
        </w:rPr>
        <w:footnoteReference w:id="20"/>
      </w:r>
    </w:p>
    <w:p>
      <w:pPr>
        <w:pStyle w:val="Normal"/>
        <w:spacing w:lineRule="auto" w:line="240"/>
        <w:ind w:firstLine="709"/>
        <w:rPr>
          <w:i/>
          <w:i/>
          <w:sz w:val="22"/>
          <w:szCs w:val="22"/>
          <w:highlight w:val="lightGray"/>
        </w:rPr>
      </w:pPr>
      <w:r>
        <w:rPr>
          <w:i/>
          <w:sz w:val="22"/>
          <w:szCs w:val="22"/>
          <w:highlight w:val="lightGray"/>
        </w:rPr>
        <w:t>или</w:t>
      </w:r>
    </w:p>
    <w:p>
      <w:pPr>
        <w:pStyle w:val="Normal"/>
        <w:spacing w:lineRule="auto" w:line="240"/>
        <w:ind w:firstLine="709"/>
        <w:rPr>
          <w:rFonts w:eastAsia="Calibri"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1"/>
          <w:sz w:val="22"/>
          <w:szCs w:val="22"/>
          <w:highlight w:val="lightGray"/>
        </w:rPr>
        <w:footnoteReference w:id="21"/>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b/>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Normal"/>
        <w:spacing w:lineRule="auto" w:line="240"/>
        <w:rPr>
          <w:i/>
          <w:i/>
          <w:sz w:val="22"/>
          <w:szCs w:val="22"/>
        </w:rPr>
      </w:pPr>
      <w:r>
        <w:rPr>
          <w:i/>
          <w:sz w:val="22"/>
          <w:szCs w:val="22"/>
        </w:rPr>
        <w:t>Приложение: форма: Акта демонтажа.</w:t>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
                <w:b/>
                <w:sz w:val="22"/>
                <w:szCs w:val="22"/>
              </w:rPr>
            </w:pPr>
            <w:r>
              <w:rPr>
                <w:b/>
                <w:sz w:val="22"/>
                <w:szCs w:val="22"/>
              </w:rPr>
              <w:t>Заказчик:</w:t>
            </w:r>
          </w:p>
        </w:tc>
        <w:tc>
          <w:tcPr>
            <w:tcW w:w="4785" w:type="dxa"/>
            <w:tcBorders/>
          </w:tcPr>
          <w:p>
            <w:pPr>
              <w:pStyle w:val="Normal"/>
              <w:widowControl w:val="false"/>
              <w:spacing w:lineRule="auto" w:line="240"/>
              <w:rPr>
                <w:b/>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4"/>
          <w:szCs w:val="24"/>
        </w:rPr>
      </w:pPr>
      <w:r>
        <w:rPr/>
      </w:r>
    </w:p>
    <w:p>
      <w:pPr>
        <w:pStyle w:val="Normal"/>
        <w:rPr>
          <w:sz w:val="24"/>
          <w:szCs w:val="24"/>
        </w:rPr>
      </w:pPr>
      <w:r>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
          <w:bCs/>
          <w:sz w:val="22"/>
          <w:szCs w:val="22"/>
          <w:highlight w:val="lightGray"/>
        </w:rPr>
      </w:pPr>
      <w:r>
        <w:rPr>
          <w:b/>
          <w:bCs/>
          <w:sz w:val="22"/>
          <w:szCs w:val="22"/>
          <w:highlight w:val="lightGray"/>
        </w:rPr>
      </w:r>
    </w:p>
    <w:p>
      <w:pPr>
        <w:pStyle w:val="Style41"/>
        <w:rPr>
          <w:bCs/>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rPr>
                <w:b w:val="false"/>
                <w:b w:val="false"/>
                <w:bCs/>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15"/>
              <w:gridCol w:w="1858"/>
              <w:gridCol w:w="1858"/>
              <w:gridCol w:w="2444"/>
              <w:gridCol w:w="2239"/>
            </w:tblGrid>
            <w:tr>
              <w:trPr/>
              <w:tc>
                <w:tcPr>
                  <w:tcW w:w="11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highlight w:val="lightGray"/>
              </w:rPr>
              <w:t>либо</w:t>
            </w:r>
          </w:p>
          <w:p>
            <w:pPr>
              <w:pStyle w:val="Normal"/>
              <w:widowControl w:val="false"/>
              <w:spacing w:lineRule="auto" w:line="24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highlight w:val="lightGray"/>
              </w:rPr>
              <w:t>1._______________</w:t>
            </w:r>
          </w:p>
          <w:p>
            <w:pPr>
              <w:pStyle w:val="Normal"/>
              <w:widowControl w:val="false"/>
              <w:spacing w:lineRule="auto" w:line="240"/>
              <w:rPr>
                <w:bCs/>
                <w:sz w:val="22"/>
                <w:szCs w:val="22"/>
                <w:highlight w:val="lightGray"/>
              </w:rPr>
            </w:pPr>
            <w:r>
              <w:rPr>
                <w:bCs/>
                <w:sz w:val="22"/>
                <w:szCs w:val="22"/>
                <w:highlight w:val="lightGray"/>
              </w:rPr>
              <w:t>2._______________</w:t>
            </w:r>
          </w:p>
          <w:p>
            <w:pPr>
              <w:pStyle w:val="Normal"/>
              <w:widowControl w:val="false"/>
              <w:spacing w:lineRule="auto" w:line="240"/>
              <w:rPr>
                <w:bCs/>
                <w:sz w:val="22"/>
                <w:szCs w:val="22"/>
              </w:rPr>
            </w:pPr>
            <w:r>
              <w:rPr>
                <w:bCs/>
                <w:sz w:val="22"/>
                <w:szCs w:val="22"/>
                <w:highlight w:val="lightGray"/>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Cs/>
                      <w:sz w:val="22"/>
                      <w:szCs w:val="22"/>
                    </w:rPr>
                  </w:pPr>
                  <w:r>
                    <w:rPr>
                      <w:bCs/>
                      <w:sz w:val="22"/>
                      <w:szCs w:val="22"/>
                    </w:rPr>
                    <w:t>Заказчик:</w:t>
                  </w:r>
                </w:p>
              </w:tc>
              <w:tc>
                <w:tcPr>
                  <w:tcW w:w="4785" w:type="dxa"/>
                  <w:tcBorders/>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Style41"/>
              <w:widowControl w:val="false"/>
              <w:jc w:val="left"/>
              <w:rPr>
                <w:i/>
                <w:i/>
                <w:iCs/>
              </w:rPr>
            </w:pPr>
            <w:r>
              <w:rPr>
                <w:i/>
                <w:iCs/>
              </w:rPr>
            </w:r>
          </w:p>
          <w:p>
            <w:pPr>
              <w:pStyle w:val="Style41"/>
              <w:widowControl w:val="false"/>
              <w:spacing w:before="0" w:after="120"/>
              <w:jc w:val="left"/>
              <w:rPr>
                <w:i/>
                <w:i/>
                <w:iCs/>
              </w:rPr>
            </w:pPr>
            <w:r>
              <w:rPr>
                <w:i/>
                <w:iCs/>
              </w:rPr>
            </w:r>
          </w:p>
        </w:tc>
      </w:tr>
    </w:tbl>
    <w:p>
      <w:pPr>
        <w:pStyle w:val="Normal"/>
        <w:spacing w:lineRule="auto" w:line="240"/>
        <w:rPr>
          <w:sz w:val="22"/>
          <w:szCs w:val="22"/>
          <w:highlight w:val="yellow"/>
        </w:rPr>
      </w:pPr>
      <w:r>
        <w:rPr>
          <w:sz w:val="22"/>
          <w:szCs w:val="22"/>
          <w:highlight w:val="yellow"/>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rPr>
          <w:sz w:val="24"/>
          <w:szCs w:val="24"/>
        </w:rPr>
      </w:pPr>
      <w:r>
        <w:rPr/>
      </w:r>
    </w:p>
    <w:p>
      <w:pPr>
        <w:pStyle w:val="Normal"/>
        <w:rPr>
          <w:sz w:val="24"/>
          <w:szCs w:val="24"/>
        </w:rPr>
      </w:pPr>
      <w:r>
        <w:rPr/>
      </w:r>
    </w:p>
    <w:sectPr>
      <w:headerReference w:type="default" r:id="rId17"/>
      <w:footerReference w:type="default" r:id="rId18"/>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swiss"/>
    <w:pitch w:val="variable"/>
  </w:font>
  <w:font w:name="Verdana">
    <w:charset w:val="cc"/>
    <w:family w:val="roman"/>
    <w:pitch w:val="variable"/>
  </w:font>
  <w:font w:name="Arial">
    <w:charset w:val="cc"/>
    <w:family w:val="roman"/>
    <w:pitch w:val="variable"/>
  </w:font>
  <w:font w:name="Courier New">
    <w:charset w:val="cc"/>
    <w:family w:val="roman"/>
    <w:pitch w:val="variable"/>
  </w:font>
  <w:font w:name="TimesNewRomanPS-BoldMT">
    <w:charset w:val="cc"/>
    <w:family w:val="roman"/>
    <w:pitch w:val="variable"/>
  </w:font>
  <w:font w:name="TimesNewRomanPSMT">
    <w:charset w:val="cc"/>
    <w:family w:val="roman"/>
    <w:pitch w:val="variable"/>
  </w:font>
  <w:font w:name="SymbolMT">
    <w:charset w:val="cc"/>
    <w:family w:val="roman"/>
    <w:pitch w:val="variable"/>
  </w:font>
  <w:font w:name="TimesNewRomanPS-ItalicMT">
    <w:charset w:val="cc"/>
    <w:family w:val="roman"/>
    <w:pitch w:val="variable"/>
  </w:font>
  <w:font w:name="TimesNewRomanPS-BoldItalicMT">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5"/>
        <w:jc w:val="both"/>
        <w:rPr/>
      </w:pPr>
      <w:r>
        <w:rPr>
          <w:rStyle w:val="Style25"/>
        </w:rPr>
        <w:footnoteRef/>
      </w:r>
      <w:r>
        <w:rPr/>
        <w:t xml:space="preserve"> </w:t>
      </w:r>
      <w:r>
        <w:rPr/>
        <w:t>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3">
    <w:p>
      <w:pPr>
        <w:pStyle w:val="Style35"/>
        <w:jc w:val="both"/>
        <w:rPr/>
      </w:pPr>
      <w:r>
        <w:rPr>
          <w:rStyle w:val="Style25"/>
        </w:rPr>
        <w:footnoteRef/>
      </w:r>
      <w:r>
        <w:rPr/>
        <w:t xml:space="preserve"> </w:t>
      </w:r>
      <w:r>
        <w:rPr/>
        <w:t>Пункт включается в Договор в случае, если к Договору прикладывается полный комплект сметной документации.</w:t>
      </w:r>
    </w:p>
  </w:footnote>
  <w:footnote w:id="4">
    <w:p>
      <w:pPr>
        <w:pStyle w:val="Style35"/>
        <w:jc w:val="both"/>
        <w:rPr/>
      </w:pPr>
      <w:r>
        <w:rPr>
          <w:rStyle w:val="Style25"/>
        </w:rPr>
        <w:footnoteRef/>
      </w:r>
      <w:r>
        <w:rPr/>
        <w:t xml:space="preserve"> </w:t>
      </w:r>
      <w:r>
        <w:rPr/>
        <w:t xml:space="preserve">Условие включается в случае, когда на дату заключения Договора локальные сметные расчеты по одному или нескольким Этапам работ отсутствуют. </w:t>
      </w:r>
    </w:p>
  </w:footnote>
  <w:footnote w:id="5">
    <w:p>
      <w:pPr>
        <w:pStyle w:val="Style35"/>
        <w:rPr/>
      </w:pPr>
      <w:r>
        <w:rPr>
          <w:rStyle w:val="Style25"/>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pPr>
        <w:pStyle w:val="Style35"/>
        <w:rPr/>
      </w:pPr>
      <w:r>
        <w:rPr>
          <w:rStyle w:val="Style25"/>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pPr>
        <w:pStyle w:val="Style35"/>
        <w:jc w:val="both"/>
        <w:rPr/>
      </w:pPr>
      <w:r>
        <w:rPr>
          <w:rStyle w:val="Style25"/>
        </w:rPr>
        <w:footnoteRef/>
      </w:r>
      <w:r>
        <w:rPr/>
        <w:t xml:space="preserve"> </w:t>
      </w:r>
      <w:r>
        <w:rPr/>
        <w:t xml:space="preserve">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8">
    <w:p>
      <w:pPr>
        <w:pStyle w:val="Style35"/>
        <w:rPr/>
      </w:pPr>
      <w:r>
        <w:rPr>
          <w:rStyle w:val="Style25"/>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pPr>
        <w:pStyle w:val="Style35"/>
        <w:rPr/>
      </w:pPr>
      <w:r>
        <w:rPr>
          <w:rStyle w:val="Style25"/>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pPr>
        <w:pStyle w:val="Style35"/>
        <w:jc w:val="both"/>
        <w:rPr/>
      </w:pPr>
      <w:r>
        <w:rPr>
          <w:rStyle w:val="Style25"/>
        </w:rPr>
        <w:footnoteRef/>
      </w:r>
      <w:r>
        <w:rPr/>
        <w:t xml:space="preserve"> </w:t>
      </w:r>
      <w:r>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11">
    <w:p>
      <w:pPr>
        <w:pStyle w:val="Style35"/>
        <w:jc w:val="both"/>
        <w:rPr/>
      </w:pPr>
      <w:r>
        <w:rPr>
          <w:rStyle w:val="Style25"/>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2">
    <w:p>
      <w:pPr>
        <w:pStyle w:val="Style35"/>
        <w:jc w:val="both"/>
        <w:rPr/>
      </w:pPr>
      <w:r>
        <w:rPr>
          <w:rStyle w:val="Style25"/>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3">
    <w:p>
      <w:pPr>
        <w:pStyle w:val="Style35"/>
        <w:rPr/>
      </w:pPr>
      <w:r>
        <w:rPr>
          <w:rStyle w:val="Style25"/>
        </w:rPr>
        <w:footnoteRef/>
      </w:r>
      <w:r>
        <w:rPr/>
        <w:t xml:space="preserve"> </w:t>
      </w:r>
      <w:r>
        <w:rPr/>
        <w:t>Абзацы второй и третий включаются в текст договора в случае заключения договора в электронной форме.</w:t>
      </w:r>
    </w:p>
  </w:footnote>
  <w:footnote w:id="14">
    <w:p>
      <w:pPr>
        <w:pStyle w:val="Style35"/>
        <w:rPr/>
      </w:pPr>
      <w:r>
        <w:rPr>
          <w:rStyle w:val="Style25"/>
        </w:rPr>
        <w:footnoteRef/>
      </w:r>
      <w:r>
        <w:rPr/>
        <w:t xml:space="preserve"> </w:t>
      </w:r>
      <w:r>
        <w:rPr/>
        <w:t xml:space="preserve">Наименование Объекта, в отношении которого выполняются Этапы Работ. </w:t>
      </w:r>
    </w:p>
  </w:footnote>
  <w:footnote w:id="15">
    <w:p>
      <w:pPr>
        <w:pStyle w:val="Style35"/>
        <w:rPr/>
      </w:pPr>
      <w:r>
        <w:rPr>
          <w:rStyle w:val="Style25"/>
        </w:rPr>
        <w:footnoteRef/>
      </w:r>
      <w:r>
        <w:rPr/>
        <w:t xml:space="preserve"> </w:t>
      </w:r>
      <w:r>
        <w:rPr/>
        <w:t>Актуальный Перечень Банков-Гарантов Группы РусГидро размещен на официальном сайте Общества</w:t>
      </w:r>
    </w:p>
    <w:p>
      <w:pPr>
        <w:pStyle w:val="Style35"/>
        <w:rPr/>
      </w:pPr>
      <w:r>
        <w:rPr/>
        <w:t>(</w:t>
      </w:r>
      <w:hyperlink r:id="rId1">
        <w:r>
          <w:rPr/>
          <w:t>http://drsk.ru/vnutrennie_dokumenty.html</w:t>
        </w:r>
      </w:hyperlink>
      <w:r>
        <w:rPr/>
        <w:t xml:space="preserve"> ).</w:t>
      </w:r>
    </w:p>
  </w:footnote>
  <w:footnote w:id="16">
    <w:p>
      <w:pPr>
        <w:pStyle w:val="Style35"/>
        <w:jc w:val="both"/>
        <w:rPr/>
      </w:pPr>
      <w:r>
        <w:rPr>
          <w:rStyle w:val="Style25"/>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17">
    <w:p>
      <w:pPr>
        <w:pStyle w:val="Style35"/>
        <w:jc w:val="both"/>
        <w:rPr/>
      </w:pPr>
      <w:r>
        <w:rPr>
          <w:rStyle w:val="Style25"/>
        </w:rPr>
        <w:footnoteRef/>
      </w:r>
      <w:r>
        <w:rPr/>
        <w:t xml:space="preserve"> </w:t>
      </w:r>
      <w:r>
        <w:rPr/>
        <w:t>Данное требование не применяется в отношении небанковских кредитных организаций.</w:t>
      </w:r>
    </w:p>
  </w:footnote>
  <w:footnote w:id="18">
    <w:p>
      <w:pPr>
        <w:pStyle w:val="Style35"/>
        <w:jc w:val="both"/>
        <w:rPr/>
      </w:pPr>
      <w:r>
        <w:rPr>
          <w:rStyle w:val="Style25"/>
        </w:rPr>
        <w:footnoteRef/>
      </w:r>
      <w:r>
        <w:rPr/>
        <w:t xml:space="preserve"> </w:t>
      </w:r>
      <w:r>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19">
    <w:p>
      <w:pPr>
        <w:pStyle w:val="Style35"/>
        <w:jc w:val="both"/>
        <w:rPr/>
      </w:pPr>
      <w:r>
        <w:rPr>
          <w:rStyle w:val="Style25"/>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20">
    <w:p>
      <w:pPr>
        <w:pStyle w:val="Style35"/>
        <w:rPr/>
      </w:pPr>
      <w:r>
        <w:rPr>
          <w:rStyle w:val="Style25"/>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21">
    <w:p>
      <w:pPr>
        <w:pStyle w:val="Style35"/>
        <w:rPr/>
      </w:pPr>
      <w:r>
        <w:rPr>
          <w:rStyle w:val="Style25"/>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2">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6">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8">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9">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8"/>
    <w:lvlOverride w:ilvl="0">
      <w:startOverride w:val="1"/>
    </w:lvlOverride>
  </w:num>
  <w:num w:numId="31">
    <w:abstractNumId w:val="26"/>
    <w:lvlOverride w:ilvl="0">
      <w:startOverride w:val="1"/>
    </w:lvlOverride>
  </w:num>
  <w:num w:numId="32">
    <w:abstractNumId w:val="27"/>
    <w:lvlOverride w:ilvl="0">
      <w:startOverride w:val="1"/>
    </w:lvlOverride>
  </w:num>
  <w:num w:numId="33">
    <w:abstractNumId w:val="28"/>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1">
    <w:name w:val="Heading 1"/>
    <w:basedOn w:val="Normal"/>
    <w:next w:val="Normal"/>
    <w:link w:val="12"/>
    <w:qFormat/>
    <w:rsid w:val="00ae674d"/>
    <w:pPr>
      <w:keepNext w:val="true"/>
      <w:spacing w:before="240" w:after="60"/>
      <w:outlineLvl w:val="0"/>
    </w:pPr>
    <w:rPr>
      <w:rFonts w:ascii="Cambria" w:hAnsi="Cambria"/>
      <w:b/>
      <w:bCs/>
      <w:kern w:val="2"/>
      <w:sz w:val="32"/>
      <w:szCs w:val="32"/>
      <w:lang w:val="x-none" w:eastAsia="x-none"/>
    </w:rPr>
  </w:style>
  <w:style w:type="paragraph" w:styleId="2">
    <w:name w:val="Heading 2"/>
    <w:basedOn w:val="Normal"/>
    <w:next w:val="Normal"/>
    <w:link w:val="21"/>
    <w:qFormat/>
    <w:rsid w:val="00ae674d"/>
    <w:pPr>
      <w:keepNext w:val="true"/>
      <w:spacing w:before="240" w:after="60"/>
      <w:outlineLvl w:val="1"/>
    </w:pPr>
    <w:rPr>
      <w:rFonts w:ascii="Cambria" w:hAnsi="Cambria"/>
      <w:b/>
      <w:bCs/>
      <w:i/>
      <w:iCs/>
      <w:lang w:val="x-none" w:eastAsia="x-none"/>
    </w:rPr>
  </w:style>
  <w:style w:type="paragraph" w:styleId="3">
    <w:name w:val="Heading 3"/>
    <w:basedOn w:val="Normal"/>
    <w:next w:val="Normal"/>
    <w:link w:val="31"/>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11">
    <w:name w:val="Привязка сноски"/>
    <w:rPr>
      <w:vertAlign w:val="superscript"/>
    </w:rPr>
  </w:style>
  <w:style w:type="character" w:styleId="FootnoteCharacters">
    <w:name w:val="Footnote Characters"/>
    <w:uiPriority w:val="99"/>
    <w:qFormat/>
    <w:rsid w:val="00d45657"/>
    <w:rPr>
      <w:vertAlign w:val="superscript"/>
    </w:rPr>
  </w:style>
  <w:style w:type="character" w:styleId="31" w:customStyle="1">
    <w:name w:val="Заголовок 3 Знак"/>
    <w:uiPriority w:val="9"/>
    <w:qFormat/>
    <w:rsid w:val="005f3f9e"/>
    <w:rPr>
      <w:b/>
      <w:sz w:val="28"/>
    </w:rPr>
  </w:style>
  <w:style w:type="character" w:styleId="32" w:customStyle="1">
    <w:name w:val="3. Подпункт Знак"/>
    <w:link w:val="35"/>
    <w:qFormat/>
    <w:rsid w:val="005f4a86"/>
    <w:rPr>
      <w:b/>
      <w:bCs/>
      <w:sz w:val="24"/>
      <w:szCs w:val="24"/>
    </w:rPr>
  </w:style>
  <w:style w:type="character" w:styleId="Style12" w:customStyle="1">
    <w:name w:val="Текст выноски Знак"/>
    <w:link w:val="BalloonText"/>
    <w:qFormat/>
    <w:rsid w:val="00dc2b59"/>
    <w:rPr>
      <w:rFonts w:ascii="Tahoma" w:hAnsi="Tahoma" w:cs="Tahoma"/>
      <w:sz w:val="16"/>
      <w:szCs w:val="16"/>
    </w:rPr>
  </w:style>
  <w:style w:type="character" w:styleId="11" w:customStyle="1">
    <w:name w:val="1. Статья Знак"/>
    <w:link w:val="13"/>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13" w:customStyle="1">
    <w:name w:val="Текст примечания Знак"/>
    <w:link w:val="Annotationtext"/>
    <w:qFormat/>
    <w:rsid w:val="00f50d64"/>
    <w:rPr/>
  </w:style>
  <w:style w:type="character" w:styleId="Style14" w:customStyle="1">
    <w:name w:val="Тема примечания Знак"/>
    <w:link w:val="Annotationsubject"/>
    <w:qFormat/>
    <w:rsid w:val="00f50d64"/>
    <w:rPr>
      <w:b/>
      <w:bCs/>
    </w:rPr>
  </w:style>
  <w:style w:type="character" w:styleId="Style15" w:customStyle="1">
    <w:name w:val="Нижний колонтитул Знак"/>
    <w:uiPriority w:val="99"/>
    <w:qFormat/>
    <w:rsid w:val="0043217c"/>
    <w:rPr>
      <w:sz w:val="28"/>
      <w:szCs w:val="28"/>
    </w:rPr>
  </w:style>
  <w:style w:type="character" w:styleId="33" w:customStyle="1">
    <w:name w:val="Основной текст 3 Знак"/>
    <w:link w:val="BodyText3"/>
    <w:qFormat/>
    <w:rsid w:val="001d2676"/>
    <w:rPr>
      <w:color w:val="0000FF"/>
      <w:sz w:val="24"/>
      <w:szCs w:val="24"/>
      <w:lang w:eastAsia="en-US"/>
    </w:rPr>
  </w:style>
  <w:style w:type="character" w:styleId="Style16" w:customStyle="1">
    <w:name w:val="Заголовок Знак"/>
    <w:qFormat/>
    <w:rsid w:val="00ae674d"/>
    <w:rPr>
      <w:b/>
      <w:sz w:val="22"/>
      <w:szCs w:val="22"/>
      <w:shd w:fill="FFFFFF" w:val="clear"/>
    </w:rPr>
  </w:style>
  <w:style w:type="character" w:styleId="12" w:customStyle="1">
    <w:name w:val="Заголовок 1 Знак"/>
    <w:qFormat/>
    <w:rsid w:val="00ae674d"/>
    <w:rPr>
      <w:rFonts w:ascii="Cambria" w:hAnsi="Cambria" w:eastAsia="Times New Roman" w:cs="Times New Roman"/>
      <w:b/>
      <w:bCs/>
      <w:kern w:val="2"/>
      <w:sz w:val="32"/>
      <w:szCs w:val="32"/>
    </w:rPr>
  </w:style>
  <w:style w:type="character" w:styleId="21" w:customStyle="1">
    <w:name w:val="Заголовок 2 Знак"/>
    <w:qFormat/>
    <w:rsid w:val="00ae674d"/>
    <w:rPr>
      <w:rFonts w:ascii="Cambria" w:hAnsi="Cambria" w:eastAsia="Times New Roman" w:cs="Times New Roman"/>
      <w:b/>
      <w:bCs/>
      <w:i/>
      <w:iCs/>
      <w:sz w:val="28"/>
      <w:szCs w:val="28"/>
    </w:rPr>
  </w:style>
  <w:style w:type="character" w:styleId="Style17"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8" w:customStyle="1">
    <w:name w:val="Текст сноски Знак"/>
    <w:uiPriority w:val="99"/>
    <w:qFormat/>
    <w:rsid w:val="00f43f0d"/>
    <w:rPr/>
  </w:style>
  <w:style w:type="character" w:styleId="Style19">
    <w:name w:val="Интернет-ссылка"/>
    <w:uiPriority w:val="99"/>
    <w:unhideWhenUsed/>
    <w:rsid w:val="00ee68c6"/>
    <w:rPr>
      <w:color w:val="0000FF"/>
      <w:u w:val="single"/>
    </w:rPr>
  </w:style>
  <w:style w:type="character" w:styleId="Style20" w:customStyle="1">
    <w:name w:val="Текст концевой сноски Знак"/>
    <w:uiPriority w:val="99"/>
    <w:semiHidden/>
    <w:qFormat/>
    <w:rsid w:val="008c02d8"/>
    <w:rPr/>
  </w:style>
  <w:style w:type="character" w:styleId="Style21">
    <w:name w:val="Привязка концевой сноски"/>
    <w:rPr>
      <w:vertAlign w:val="superscript"/>
    </w:rPr>
  </w:style>
  <w:style w:type="character" w:styleId="EndnoteCharacters">
    <w:name w:val="Endnote Characters"/>
    <w:uiPriority w:val="99"/>
    <w:semiHidden/>
    <w:unhideWhenUsed/>
    <w:qFormat/>
    <w:rsid w:val="008c02d8"/>
    <w:rPr>
      <w:vertAlign w:val="superscript"/>
    </w:rPr>
  </w:style>
  <w:style w:type="character" w:styleId="Style22" w:customStyle="1">
    <w:name w:val="Верхний колонтитул Знак"/>
    <w:basedOn w:val="DefaultParagraphFont"/>
    <w:qFormat/>
    <w:rsid w:val="00f84d00"/>
    <w:rPr>
      <w:sz w:val="28"/>
      <w:szCs w:val="28"/>
    </w:rPr>
  </w:style>
  <w:style w:type="character" w:styleId="Style23" w:customStyle="1">
    <w:name w:val="Основной текст Знак"/>
    <w:basedOn w:val="DefaultParagraphFont"/>
    <w:qFormat/>
    <w:rsid w:val="00f84d00"/>
    <w:rPr>
      <w:sz w:val="28"/>
      <w:szCs w:val="28"/>
    </w:rPr>
  </w:style>
  <w:style w:type="character" w:styleId="22" w:customStyle="1">
    <w:name w:val="Основной текст 2 Знак"/>
    <w:basedOn w:val="DefaultParagraphFont"/>
    <w:link w:val="BodyText2"/>
    <w:qFormat/>
    <w:rsid w:val="00f84d00"/>
    <w:rPr/>
  </w:style>
  <w:style w:type="character" w:styleId="34" w:customStyle="1">
    <w:name w:val="Основной текст с отступом 3 Знак"/>
    <w:basedOn w:val="DefaultParagraphFont"/>
    <w:link w:val="BodyTextIndent3"/>
    <w:qFormat/>
    <w:rsid w:val="00f84d00"/>
    <w:rPr>
      <w:sz w:val="16"/>
      <w:szCs w:val="16"/>
    </w:rPr>
  </w:style>
  <w:style w:type="character" w:styleId="Style24" w:customStyle="1">
    <w:name w:val="Абзац списка Знак"/>
    <w:link w:val="ListParagraph"/>
    <w:uiPriority w:val="34"/>
    <w:qFormat/>
    <w:locked/>
    <w:rsid w:val="0035549e"/>
    <w:rPr>
      <w:sz w:val="24"/>
      <w:szCs w:val="24"/>
    </w:rPr>
  </w:style>
  <w:style w:type="character" w:styleId="Style25">
    <w:name w:val="Символ сноски"/>
    <w:qFormat/>
    <w:rPr/>
  </w:style>
  <w:style w:type="character" w:styleId="Style26">
    <w:name w:val="Символ концевой сноски"/>
    <w:qFormat/>
    <w:rPr/>
  </w:style>
  <w:style w:type="paragraph" w:styleId="Style27">
    <w:name w:val="Заголовок"/>
    <w:basedOn w:val="Normal"/>
    <w:next w:val="Style28"/>
    <w:qFormat/>
    <w:pPr>
      <w:keepNext w:val="true"/>
      <w:spacing w:before="240" w:after="120"/>
    </w:pPr>
    <w:rPr>
      <w:rFonts w:ascii="Liberation Sans" w:hAnsi="Liberation Sans" w:eastAsia="Microsoft YaHei" w:cs="Lucida Sans"/>
      <w:sz w:val="28"/>
      <w:szCs w:val="28"/>
    </w:rPr>
  </w:style>
  <w:style w:type="paragraph" w:styleId="Style28">
    <w:name w:val="Body Text"/>
    <w:basedOn w:val="Normal"/>
    <w:link w:val="Style23"/>
    <w:rsid w:val="004b090f"/>
    <w:pPr>
      <w:spacing w:before="0" w:after="120"/>
    </w:pPr>
    <w:rPr/>
  </w:style>
  <w:style w:type="paragraph" w:styleId="Style29">
    <w:name w:val="List"/>
    <w:basedOn w:val="Style28"/>
    <w:pPr/>
    <w:rPr>
      <w:rFonts w:cs="Lucida Sans"/>
    </w:rPr>
  </w:style>
  <w:style w:type="paragraph" w:styleId="Style30">
    <w:name w:val="Caption"/>
    <w:basedOn w:val="Normal"/>
    <w:qFormat/>
    <w:pPr>
      <w:suppressLineNumbers/>
      <w:spacing w:before="120" w:after="120"/>
    </w:pPr>
    <w:rPr>
      <w:rFonts w:cs="Lucida Sans"/>
      <w:i/>
      <w:iCs/>
      <w:sz w:val="24"/>
      <w:szCs w:val="24"/>
    </w:rPr>
  </w:style>
  <w:style w:type="paragraph" w:styleId="Style31">
    <w:name w:val="Указатель"/>
    <w:basedOn w:val="Normal"/>
    <w:qFormat/>
    <w:pPr>
      <w:suppressLineNumbers/>
    </w:pPr>
    <w:rPr>
      <w:rFonts w:cs="Lucida Sans"/>
      <w:lang w:val="zxx" w:eastAsia="zxx" w:bidi="zxx"/>
    </w:rPr>
  </w:style>
  <w:style w:type="paragraph" w:styleId="BodyText3">
    <w:name w:val="Body Text 3"/>
    <w:basedOn w:val="Normal"/>
    <w:link w:val="33"/>
    <w:qFormat/>
    <w:rsid w:val="004b090f"/>
    <w:pPr>
      <w:spacing w:lineRule="auto" w:line="240"/>
      <w:ind w:hanging="0"/>
    </w:pPr>
    <w:rPr>
      <w:color w:val="0000FF"/>
      <w:sz w:val="24"/>
      <w:szCs w:val="24"/>
      <w:lang w:val="x-none" w:eastAsia="en-US"/>
    </w:rPr>
  </w:style>
  <w:style w:type="paragraph" w:styleId="Style32">
    <w:name w:val="Колонтитул"/>
    <w:basedOn w:val="Normal"/>
    <w:qFormat/>
    <w:pPr/>
    <w:rPr/>
  </w:style>
  <w:style w:type="paragraph" w:styleId="Style33">
    <w:name w:val="Header"/>
    <w:basedOn w:val="Normal"/>
    <w:link w:val="Style22"/>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link w:val="22"/>
    <w:qFormat/>
    <w:rsid w:val="004b090f"/>
    <w:pPr>
      <w:widowControl w:val="false"/>
      <w:spacing w:lineRule="auto" w:line="480" w:before="0" w:after="120"/>
      <w:ind w:hanging="0"/>
      <w:jc w:val="left"/>
    </w:pPr>
    <w:rPr>
      <w:sz w:val="20"/>
      <w:szCs w:val="20"/>
    </w:rPr>
  </w:style>
  <w:style w:type="paragraph" w:styleId="Style34"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35">
    <w:name w:val="Footnote Text"/>
    <w:basedOn w:val="Normal"/>
    <w:link w:val="Style18"/>
    <w:uiPriority w:val="99"/>
    <w:rsid w:val="00d45657"/>
    <w:pPr>
      <w:spacing w:lineRule="auto" w:line="240"/>
      <w:ind w:hanging="0"/>
      <w:jc w:val="left"/>
    </w:pPr>
    <w:rPr>
      <w:sz w:val="20"/>
      <w:szCs w:val="20"/>
    </w:rPr>
  </w:style>
  <w:style w:type="paragraph" w:styleId="Style36"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7"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8"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9"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link w:val="34"/>
    <w:qFormat/>
    <w:rsid w:val="006329b9"/>
    <w:pPr>
      <w:spacing w:before="0" w:after="120"/>
      <w:ind w:left="283" w:firstLine="567"/>
    </w:pPr>
    <w:rPr>
      <w:sz w:val="16"/>
      <w:szCs w:val="16"/>
    </w:rPr>
  </w:style>
  <w:style w:type="paragraph" w:styleId="ListParagraph">
    <w:name w:val="List Paragraph"/>
    <w:basedOn w:val="Normal"/>
    <w:link w:val="Style24"/>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3"/>
    <w:link w:val="11"/>
    <w:qFormat/>
    <w:rsid w:val="005f4a86"/>
    <w:pPr>
      <w:keepNext w:val="false"/>
      <w:widowControl w:val="false"/>
      <w:numPr>
        <w:ilvl w:val="0"/>
        <w:numId w:val="2"/>
      </w:numPr>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4" w:customStyle="1">
    <w:name w:val="2. Пункт"/>
    <w:basedOn w:val="3"/>
    <w:qFormat/>
    <w:rsid w:val="005f4a86"/>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5" w:customStyle="1">
    <w:name w:val="3. Подпункт"/>
    <w:basedOn w:val="3"/>
    <w:link w:val="32"/>
    <w:qFormat/>
    <w:rsid w:val="005f4a86"/>
    <w:pPr>
      <w:keepNext w:val="false"/>
      <w:widowControl w:val="false"/>
      <w:numPr>
        <w:ilvl w:val="2"/>
        <w:numId w:val="2"/>
      </w:numPr>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12"/>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13"/>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14"/>
    <w:qFormat/>
    <w:rsid w:val="00f50d64"/>
    <w:pPr/>
    <w:rPr>
      <w:b/>
      <w:bCs/>
    </w:rPr>
  </w:style>
  <w:style w:type="paragraph" w:styleId="Style40">
    <w:name w:val="Footer"/>
    <w:basedOn w:val="Normal"/>
    <w:link w:val="Style15"/>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Style41" w:customStyle="1">
    <w:name w:val="Title"/>
    <w:basedOn w:val="Normal"/>
    <w:link w:val="Style16"/>
    <w:qFormat/>
    <w:rsid w:val="00ae674d"/>
    <w:pPr>
      <w:widowControl w:val="false"/>
      <w:overflowPunct w:val="true"/>
      <w:spacing w:lineRule="auto" w:line="240" w:before="0" w:after="120"/>
      <w:ind w:hanging="0"/>
      <w:jc w:val="center"/>
      <w:textAlignment w:val="baseline"/>
    </w:pPr>
    <w:rPr>
      <w:b/>
      <w:bCs/>
      <w:sz w:val="32"/>
      <w:szCs w:val="20"/>
    </w:rPr>
  </w:style>
  <w:style w:type="paragraph" w:styleId="Style42">
    <w:name w:val="Body Text Indent"/>
    <w:basedOn w:val="Normal"/>
    <w:link w:val="Style17"/>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
    <w:name w:val="caption"/>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43" w:customStyle="1">
    <w:name w:val="Контракт-раздел"/>
    <w:basedOn w:val="Normal"/>
    <w:qFormat/>
    <w:rsid w:val="00f43f0d"/>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4" w:customStyle="1">
    <w:name w:val="Контракт-пункт"/>
    <w:basedOn w:val="Normal"/>
    <w:qFormat/>
    <w:rsid w:val="00f43f0d"/>
    <w:pPr>
      <w:numPr>
        <w:ilvl w:val="1"/>
        <w:numId w:val="5"/>
      </w:numPr>
    </w:pPr>
    <w:rPr/>
  </w:style>
  <w:style w:type="paragraph" w:styleId="Style45" w:customStyle="1">
    <w:name w:val="Контракт-подпункт"/>
    <w:basedOn w:val="Normal"/>
    <w:qFormat/>
    <w:rsid w:val="00f43f0d"/>
    <w:pPr>
      <w:numPr>
        <w:ilvl w:val="2"/>
        <w:numId w:val="5"/>
      </w:numPr>
    </w:pPr>
    <w:rPr/>
  </w:style>
  <w:style w:type="paragraph" w:styleId="Style46" w:customStyle="1">
    <w:name w:val="Контракт-подподпункт"/>
    <w:basedOn w:val="Normal"/>
    <w:qFormat/>
    <w:rsid w:val="00f43f0d"/>
    <w:pPr>
      <w:numPr>
        <w:ilvl w:val="3"/>
        <w:numId w:val="5"/>
      </w:numPr>
    </w:pPr>
    <w:rPr/>
  </w:style>
  <w:style w:type="paragraph" w:styleId="Style47">
    <w:name w:val="Endnote Text"/>
    <w:basedOn w:val="Normal"/>
    <w:link w:val="Style20"/>
    <w:uiPriority w:val="99"/>
    <w:semiHidden/>
    <w:unhideWhenUsed/>
    <w:rsid w:val="008c02d8"/>
    <w:pPr/>
    <w:rPr>
      <w:sz w:val="20"/>
      <w:szCs w:val="20"/>
      <w:lang w:val="x-none" w:eastAsia="x-none"/>
    </w:rPr>
  </w:style>
  <w:style w:type="paragraph" w:styleId="ConsPlusNonformat" w:customStyle="1">
    <w:name w:val="ConsPlusNonformat"/>
    <w:qFormat/>
    <w:rsid w:val="00ae1f9a"/>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uiPriority w:val="39"/>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header" Target="header5.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footer" Target="footer6.xml"/><Relationship Id="rId17" Type="http://schemas.openxmlformats.org/officeDocument/2006/relationships/header" Target="header7.xml"/><Relationship Id="rId18" Type="http://schemas.openxmlformats.org/officeDocument/2006/relationships/footer" Target="footer7.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Relationship Id="rId25" Type="http://schemas.openxmlformats.org/officeDocument/2006/relationships/customXml" Target="../customXml/item2.xml"/>
</Relationships>
</file>

<file path=word/_rels/footnotes.xml.rels><?xml version="1.0" encoding="UTF-8"?>
<Relationships xmlns="http://schemas.openxmlformats.org/package/2006/relationships"><Relationship Id="rId1" Type="http://schemas.openxmlformats.org/officeDocument/2006/relationships/hyperlink" Target="http://drsk.ru/vnutrennie_dokumenty.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83EDE-3CD5-4255-9C4C-E438C0FD00A7}">
  <ds:schemaRefs>
    <ds:schemaRef ds:uri="http://schemas.openxmlformats.org/officeDocument/2006/bibliography"/>
  </ds:schemaRefs>
</ds:datastoreItem>
</file>

<file path=customXml/itemProps2.xml><?xml version="1.0" encoding="utf-8"?>
<ds:datastoreItem xmlns:ds="http://schemas.openxmlformats.org/officeDocument/2006/customXml" ds:itemID="{1E4863EB-BE6E-4899-966E-2DDD086A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Application>AlterOffice/3.2.10.1$Windows_X86_64 LibreOffice_project/fd4aef8cf5375f9cc83c908f13323775cf9f559f</Application>
  <AppVersion>15.0000</AppVersion>
  <Pages>63</Pages>
  <Words>20497</Words>
  <Characters>146938</Characters>
  <CharactersWithSpaces>166810</CharactersWithSpaces>
  <Paragraphs>1140</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2022-11-01T07:16:00Z</dcterms:created>
  <dc:creator>UK VoHEC</dc:creator>
  <dc:description/>
  <dc:language>ru-RU</dc:language>
  <cp:lastModifiedBy>Мария Николаевна Молчанова</cp:lastModifiedBy>
  <cp:lastPrinted>2023-09-04T23:04:00Z</cp:lastPrinted>
  <dcterms:modified xsi:type="dcterms:W3CDTF">2023-11-14T17:30:29Z</dcterms:modified>
  <cp:revision>25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